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Document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pic="http://schemas.openxmlformats.org/drawingml/2006/picture">
  <w:body>
    <w:p>
      <w:pPr>
        <w:pStyle w:val="Title"/>
      </w:pPr>
      <w:r>
        <w:t xml:space="preserve">HR KPI Cockpit - ausführliche Anwenderanleitung</w:t>
      </w:r>
    </w:p>
    <w:p>
      <w:pPr>
        <w:pStyle w:val="Subtitle"/>
      </w:pPr>
      <w:r>
        <w:t xml:space="preserve">Ausführliche Schulungsunterlage für HR-Anwender</w:t>
      </w:r>
    </w:p>
    <w:p>
      <w:r>
        <w:t xml:space="preserve">Stand: 21.05.2026</w:t>
      </w:r>
    </w:p>
    <w:p>
      <w:r>
        <w:t xml:space="preserve">Dieses Dokument ist bewusst umfangreich aufgebaut. Es kann als Schulungsunterlage, Nachschlagewerk und Checkliste für produktive Nutzung verwendet werden.</w:t>
      </w:r>
    </w:p>
    <w:p>
      <w:r>
        <w:drawing>
          <wp:inline distT="0" distB="0" distL="0" distR="0">
            <wp:extent cx="5334000" cy="2667000"/>
            <wp:docPr id="1" name="Cockpit preview"/>
            <a:graphic>
              <a:graphicData uri="http://schemas.openxmlformats.org/drawingml/2006/picture">
                <pic:pic>
                  <pic:nvPicPr>
                    <pic:cNvPr id="0" name="preview.png"/>
                    <pic:cNvPicPr/>
                  </pic:nvPicPr>
                  <pic:blipFill>
                    <a:blip r:embed="rIdPreview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pStyle w:val="Heading1"/>
      </w:pPr>
      <w:r>
        <w:t xml:space="preserve">Inhaltsübersicht</w:t>
      </w:r>
    </w:p>
    <w:p>
      <w:r>
        <w:t xml:space="preserve">1. Zweck und Zielgruppe</w:t>
      </w:r>
    </w:p>
    <w:p>
      <w:r>
        <w:t xml:space="preserve">2. Gesamtprozess HR KPI</w:t>
      </w:r>
    </w:p>
    <w:p>
      <w:r>
        <w:t xml:space="preserve">3. Datenquellen und Dateinamen</w:t>
      </w:r>
    </w:p>
    <w:p>
      <w:r>
        <w:t xml:space="preserve">4. Login und Datenschutz</w:t>
      </w:r>
    </w:p>
    <w:p>
      <w:r>
        <w:t xml:space="preserve">5. Cockpit laden und Datenstatus interpretieren</w:t>
      </w:r>
    </w:p>
    <w:p>
      <w:r>
        <w:t xml:space="preserve">6. Überblick und Headcount</w:t>
      </w:r>
    </w:p>
    <w:p>
      <w:r>
        <w:t xml:space="preserve">7. Fluktuation richtig lesen</w:t>
      </w:r>
    </w:p>
    <w:p>
      <w:r>
        <w:t xml:space="preserve">8. Absenzen, Krankheit und Unfall</w:t>
      </w:r>
    </w:p>
    <w:p>
      <w:r>
        <w:t xml:space="preserve">9. GLZ, Restferien und Ampeln</w:t>
      </w:r>
    </w:p>
    <w:p>
      <w:r>
        <w:t xml:space="preserve">10. Datenqualität und typische Fehler</w:t>
      </w:r>
    </w:p>
    <w:p>
      <w:r>
        <w:t xml:space="preserve">11. Managementsicht, Druck und PDF</w:t>
      </w:r>
    </w:p>
    <w:p>
      <w:r>
        <w:t xml:space="preserve">12. Checkliste für produktive Nutzung</w:t>
      </w:r>
    </w:p>
    <w:p>
      <w:r>
        <w:br w:type="page"/>
      </w:r>
    </w:p>
    <w:p>
      <w:pPr>
        <w:pStyle w:val="Heading1"/>
      </w:pPr>
      <w:r>
        <w:t xml:space="preserve">1. Zweck und Zielgruppe</w:t>
      </w:r>
    </w:p>
    <w:p>
      <w:r>
        <w:t xml:space="preserve">Diese Anleitung richtet sich an HR-Anwenderinnen, HR-Verantwortliche und Keyuser, die das HR KPI Cockpit regelmässig für Monats-, Quartals- und Jahresauswertungen verwenden.</w:t>
      </w:r>
    </w:p>
    <w:p>
      <w:r>
        <w:t xml:space="preserve">Das Cockpit ersetzt keine fachliche HR-Freigabe. Es unterstützt die strukturierte Prüfung von Headcount, Fluktuation, Absenzen, GLZ, Restferien und Datenqualität.</w:t>
      </w:r>
    </w:p>
    <w:p>
      <w:r>
        <w:t xml:space="preserve">Wichtig ist die Reihenfolge: zuerst Datenquellen bereitstellen, danach den Datenstatus prüfen, anschliessend Kennzahlen lesen und erst am Ende Ergebnisse für Führungsberichte verwenden.</w:t>
      </w:r>
    </w:p>
    <w:tbl>
      <w:tblPr>
        <w:tblStyle w:val="TableGrid"/>
        <w:tblW w:w="0" w:type="auto"/>
      </w:tblPr>
      <w:tr>
        <w:tc>
          <w:tcPr>
            <w:shd w:fill="D9EAF7"/>
            <w:tcW w:w="3000" w:type="dxa"/>
          </w:tcPr>
          <w:p>
            <w:r>
              <w:rPr>
                <w:b/>
              </w:rPr>
              <w:t xml:space="preserve">Rolle</w:t>
            </w:r>
          </w:p>
        </w:tc>
        <w:tc>
          <w:tcPr>
            <w:shd w:fill="D9EAF7"/>
            <w:tcW w:w="3000" w:type="dxa"/>
          </w:tcPr>
          <w:p>
            <w:r>
              <w:rPr>
                <w:b/>
              </w:rPr>
              <w:t xml:space="preserve">Aufgabe</w:t>
            </w:r>
          </w:p>
        </w:tc>
      </w:tr>
      <w:tr>
        <w:tc>
          <w:tcPr>
            <w:tcW w:w="3000" w:type="dxa"/>
          </w:tcPr>
          <w:p>
            <w:r>
              <w:t xml:space="preserve">HR Keyuser</w:t>
            </w:r>
          </w:p>
        </w:tc>
        <w:tc>
          <w:tcPr>
            <w:tcW w:w="3000" w:type="dxa"/>
          </w:tcPr>
          <w:p>
            <w:r>
              <w:t xml:space="preserve">Daten bereitstellen, Cockpit laden, Plausibilität prüfen</w:t>
            </w:r>
          </w:p>
        </w:tc>
      </w:tr>
      <w:tr>
        <w:tc>
          <w:tcPr>
            <w:tcW w:w="3000" w:type="dxa"/>
          </w:tcPr>
          <w:p>
            <w:r>
              <w:t xml:space="preserve">HR Leitung</w:t>
            </w:r>
          </w:p>
        </w:tc>
        <w:tc>
          <w:tcPr>
            <w:tcW w:w="3000" w:type="dxa"/>
          </w:tcPr>
          <w:p>
            <w:r>
              <w:t xml:space="preserve">Kennzahlen interpretieren, Freigaben erteilen</w:t>
            </w:r>
          </w:p>
        </w:tc>
      </w:tr>
      <w:tr>
        <w:tc>
          <w:tcPr>
            <w:tcW w:w="3000" w:type="dxa"/>
          </w:tcPr>
          <w:p>
            <w:r>
              <w:t xml:space="preserve">IT/App Admin</w:t>
            </w:r>
          </w:p>
        </w:tc>
        <w:tc>
          <w:tcPr>
            <w:tcW w:w="3000" w:type="dxa"/>
          </w:tcPr>
          <w:p>
            <w:r>
              <w:t xml:space="preserve">Pfad, Zugriff und technische Fehler klären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2. Gesamtprozess HR KPI</w:t>
      </w:r>
    </w:p>
    <w:p>
      <w:r>
        <w:t xml:space="preserve">Der HR-KPI-Prozess besteht aus fünf Arbeitsschritten. Jeder Schritt muss bewusst abgeschlossen werden, weil viele Kennzahlen nur dann belastbar sind, wenn die Eingabedateien aktuell und vollständig sind.</w:t>
      </w:r>
    </w:p>
    <w:p>
      <w:r>
        <w:t xml:space="preserve">Die Prozessgrafik zeigt die operative Reihenfolge. Bei Abweichungen zuerst im Reiter Datenstatus prüfen, ob Dateien fehlen oder veraltet sind.</w:t>
      </w:r>
    </w:p>
    <w:tbl>
      <w:tblPr>
        <w:tblStyle w:val="TableGrid"/>
        <w:tblW w:w="0" w:type="auto"/>
      </w:tblPr>
      <w:tr>
        <w:tc>
          <w:tcPr>
            <w:shd w:fill="D9EAF7"/>
            <w:tcW w:w="3000" w:type="dxa"/>
          </w:tcPr>
          <w:p>
            <w:r>
              <w:rPr>
                <w:b/>
              </w:rPr>
              <w:t xml:space="preserve">1</w:t>
            </w:r>
          </w:p>
        </w:tc>
        <w:tc>
          <w:tcPr>
            <w:shd w:fill="D9EAF7"/>
            <w:tcW w:w="3000" w:type="dxa"/>
          </w:tcPr>
          <w:p>
            <w:r>
              <w:rPr>
                <w:b/>
              </w:rPr>
              <w:t xml:space="preserve">Rexx/SAP-Dateien exportieren</w:t>
            </w:r>
          </w:p>
        </w:tc>
      </w:tr>
      <w:tr>
        <w:tc>
          <w:tcPr>
            <w:tcW w:w="3000" w:type="dxa"/>
          </w:tcPr>
          <w:p>
            <w:r>
              <w:t xml:space="preserve">2</w:t>
            </w:r>
          </w:p>
        </w:tc>
        <w:tc>
          <w:tcPr>
            <w:tcW w:w="3000" w:type="dxa"/>
          </w:tcPr>
          <w:p>
            <w:r>
              <w:t xml:space="preserve">Dateien in den Datenordner legen</w:t>
            </w:r>
          </w:p>
        </w:tc>
      </w:tr>
      <w:tr>
        <w:tc>
          <w:tcPr>
            <w:tcW w:w="3000" w:type="dxa"/>
          </w:tcPr>
          <w:p>
            <w:r>
              <w:t xml:space="preserve">3</w:t>
            </w:r>
          </w:p>
        </w:tc>
        <w:tc>
          <w:tcPr>
            <w:tcW w:w="3000" w:type="dxa"/>
          </w:tcPr>
          <w:p>
            <w:r>
              <w:t xml:space="preserve">Datenordner im Cockpit kontrollieren</w:t>
            </w:r>
          </w:p>
        </w:tc>
      </w:tr>
      <w:tr>
        <w:tc>
          <w:tcPr>
            <w:tcW w:w="3000" w:type="dxa"/>
          </w:tcPr>
          <w:p>
            <w:r>
              <w:t xml:space="preserve">4</w:t>
            </w:r>
          </w:p>
        </w:tc>
        <w:tc>
          <w:tcPr>
            <w:tcW w:w="3000" w:type="dxa"/>
          </w:tcPr>
          <w:p>
            <w:r>
              <w:t xml:space="preserve">Cockpit laden und Datenstatus prüfen</w:t>
            </w:r>
          </w:p>
        </w:tc>
      </w:tr>
      <w:tr>
        <w:tc>
          <w:tcPr>
            <w:tcW w:w="3000" w:type="dxa"/>
          </w:tcPr>
          <w:p>
            <w:r>
              <w:t xml:space="preserve">5</w:t>
            </w:r>
          </w:p>
        </w:tc>
        <w:tc>
          <w:tcPr>
            <w:tcW w:w="3000" w:type="dxa"/>
          </w:tcPr>
          <w:p>
            <w:r>
              <w:t xml:space="preserve">Kennzahlen interpretieren und Bericht erzeugen</w:t>
            </w:r>
          </w:p>
        </w:tc>
      </w:tr>
    </w:tbl>
    <w:p>
      <w:r>
        <w:drawing>
          <wp:inline distT="0" distB="0" distL="0" distR="0">
            <wp:extent cx="4762500" cy="2381250"/>
            <wp:docPr id="1" name="Cockpit preview"/>
            <a:graphic>
              <a:graphicData uri="http://schemas.openxmlformats.org/drawingml/2006/picture">
                <pic:pic>
                  <pic:nvPicPr>
                    <pic:cNvPr id="0" name="preview.png"/>
                    <pic:cNvPicPr/>
                  </pic:nvPicPr>
                  <pic:blipFill>
                    <a:blip r:embed="rIdPreview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pStyle w:val="Heading1"/>
      </w:pPr>
      <w:r>
        <w:t xml:space="preserve">3. Datenquellen und Dateinamen</w:t>
      </w:r>
    </w:p>
    <w:p>
      <w:r>
        <w:t xml:space="preserve">Die HR-Dateien müssen als Excel-Dateien vorliegen. PDF-Dateien sind für die Auswertung ungeeignet, weil sie keine stabile Tabellenstruktur liefern.</w:t>
      </w:r>
    </w:p>
    <w:p>
      <w:r>
        <w:t xml:space="preserve">Der Datenordner ist im Cockpit sichtbar und kann für einen einzelnen Lauf angepasst werden. Dauerhaft wird der Standardordner über die Konfiguration HrKpi:DataFolder gepflegt.</w:t>
      </w:r>
    </w:p>
    <w:p>
      <w:r>
        <w:t xml:space="preserve">Wenn eine Datei fehlt, liest das Cockpit die zugehörigen Kennzahlen nicht oder markiert den Befund in der Datenqualität.</w:t>
      </w:r>
    </w:p>
    <w:tbl>
      <w:tblPr>
        <w:tblStyle w:val="TableGrid"/>
        <w:tblW w:w="0" w:type="auto"/>
      </w:tblPr>
      <w:tr>
        <w:tc>
          <w:tcPr>
            <w:shd w:fill="D9EAF7"/>
            <w:tcW w:w="3000" w:type="dxa"/>
          </w:tcPr>
          <w:p>
            <w:r>
              <w:rPr>
                <w:b/>
              </w:rPr>
              <w:t xml:space="preserve">Datei/Bereich</w:t>
            </w:r>
          </w:p>
        </w:tc>
        <w:tc>
          <w:tcPr>
            <w:shd w:fill="D9EAF7"/>
            <w:tcW w:w="3000" w:type="dxa"/>
          </w:tcPr>
          <w:p>
            <w:r>
              <w:rPr>
                <w:b/>
              </w:rPr>
              <w:t xml:space="preserve">Inhalt</w:t>
            </w:r>
          </w:p>
        </w:tc>
        <w:tc>
          <w:tcPr>
            <w:shd w:fill="D9EAF7"/>
            <w:tcW w:w="3000" w:type="dxa"/>
          </w:tcPr>
          <w:p>
            <w:r>
              <w:rPr>
                <w:b/>
              </w:rPr>
              <w:t xml:space="preserve">Prüfung</w:t>
            </w:r>
          </w:p>
        </w:tc>
      </w:tr>
      <w:tr>
        <w:tc>
          <w:tcPr>
            <w:tcW w:w="3000" w:type="dxa"/>
          </w:tcPr>
          <w:p>
            <w:r>
              <w:t xml:space="preserve">Aktive Mitarbeitende</w:t>
            </w:r>
          </w:p>
        </w:tc>
        <w:tc>
          <w:tcPr>
            <w:tcW w:w="3000" w:type="dxa"/>
          </w:tcPr>
          <w:p>
            <w:r>
              <w:t xml:space="preserve">Headcount, Organisation, Kostenstelle, Alter, Eintritt</w:t>
            </w:r>
          </w:p>
        </w:tc>
        <w:tc>
          <w:tcPr>
            <w:tcW w:w="3000" w:type="dxa"/>
          </w:tcPr>
          <w:p>
            <w:r>
              <w:t xml:space="preserve">Zeilenanzahl und Aktualität prüfen</w:t>
            </w:r>
          </w:p>
        </w:tc>
      </w:tr>
      <w:tr>
        <w:tc>
          <w:tcPr>
            <w:tcW w:w="3000" w:type="dxa"/>
          </w:tcPr>
          <w:p>
            <w:r>
              <w:t xml:space="preserve">Austritte</w:t>
            </w:r>
          </w:p>
        </w:tc>
        <w:tc>
          <w:tcPr>
            <w:tcW w:w="3000" w:type="dxa"/>
          </w:tcPr>
          <w:p>
            <w:r>
              <w:t xml:space="preserve">Austrittsdatum, Austrittsart, Organisation</w:t>
            </w:r>
          </w:p>
        </w:tc>
        <w:tc>
          <w:tcPr>
            <w:tcW w:w="3000" w:type="dxa"/>
          </w:tcPr>
          <w:p>
            <w:r>
              <w:t xml:space="preserve">Zeitraum und Austrittsarten prüfen</w:t>
            </w:r>
          </w:p>
        </w:tc>
      </w:tr>
      <w:tr>
        <w:tc>
          <w:tcPr>
            <w:tcW w:w="3000" w:type="dxa"/>
          </w:tcPr>
          <w:p>
            <w:r>
              <w:t xml:space="preserve">Absenzen</w:t>
            </w:r>
          </w:p>
        </w:tc>
        <w:tc>
          <w:tcPr>
            <w:tcW w:w="3000" w:type="dxa"/>
          </w:tcPr>
          <w:p>
            <w:r>
              <w:t xml:space="preserve">Krankheit kurz/lang, Unfall, Organisation</w:t>
            </w:r>
          </w:p>
        </w:tc>
        <w:tc>
          <w:tcPr>
            <w:tcW w:w="3000" w:type="dxa"/>
          </w:tcPr>
          <w:p>
            <w:r>
              <w:t xml:space="preserve">FTE- und Tageslogik prüfen</w:t>
            </w:r>
          </w:p>
        </w:tc>
      </w:tr>
      <w:tr>
        <w:tc>
          <w:tcPr>
            <w:tcW w:w="3000" w:type="dxa"/>
          </w:tcPr>
          <w:p>
            <w:r>
              <w:t xml:space="preserve">SAP/GLZ/Ferien</w:t>
            </w:r>
          </w:p>
        </w:tc>
        <w:tc>
          <w:tcPr>
            <w:tcW w:w="3000" w:type="dxa"/>
          </w:tcPr>
          <w:p>
            <w:r>
              <w:t xml:space="preserve">Zeit- und Ferienstaende</w:t>
            </w:r>
          </w:p>
        </w:tc>
        <w:tc>
          <w:tcPr>
            <w:tcW w:w="3000" w:type="dxa"/>
          </w:tcPr>
          <w:p>
            <w:r>
              <w:t xml:space="preserve">kritische Saldi prüfen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4. Login und Datenschutz</w:t>
      </w:r>
    </w:p>
    <w:p>
      <w:r>
        <w:t xml:space="preserve">Das HR KPI Cockpit ist separat geschuetzt. Auch wenn die Haupt-App erreichbar ist, müssen HR-Daten mit einem eigenen HR-Zugang entsperrt werden.</w:t>
      </w:r>
    </w:p>
    <w:p>
      <w:r>
        <w:t xml:space="preserve">HR-Daten enthalten Personendaten. Auswertungen dürfen nur in den vorgesehenen geschuetzten Ablagen gespeichert werden. Keine HR-Rohdaten per E-Mail weiterleiten.</w:t>
      </w:r>
    </w:p>
    <w:p>
      <w:r>
        <w:t xml:space="preserve">Die Managementsicht reduziert personenbezogene Details. Für operative HR-Prüfungen bleiben Detailtabellen sichtbar, für Führungsberichte ist die aggregierte Sicht vorzuziehen.</w:t>
      </w:r>
    </w:p>
    <w:tbl>
      <w:tblPr>
        <w:tblStyle w:val="TableGrid"/>
        <w:tblW w:w="0" w:type="auto"/>
      </w:tblPr>
      <w:tr>
        <w:tc>
          <w:tcPr>
            <w:shd w:fill="D9EAF7"/>
            <w:tcW w:w="3000" w:type="dxa"/>
          </w:tcPr>
          <w:p>
            <w:r>
              <w:rPr>
                <w:b/>
              </w:rPr>
              <w:t xml:space="preserve">Kontrolle</w:t>
            </w:r>
          </w:p>
        </w:tc>
        <w:tc>
          <w:tcPr>
            <w:shd w:fill="D9EAF7"/>
            <w:tcW w:w="3000" w:type="dxa"/>
          </w:tcPr>
          <w:p>
            <w:r>
              <w:rPr>
                <w:b/>
              </w:rPr>
              <w:t xml:space="preserve">Erwartung</w:t>
            </w:r>
          </w:p>
        </w:tc>
      </w:tr>
      <w:tr>
        <w:tc>
          <w:tcPr>
            <w:tcW w:w="3000" w:type="dxa"/>
          </w:tcPr>
          <w:p>
            <w:r>
              <w:t xml:space="preserve">Zugriff</w:t>
            </w:r>
          </w:p>
        </w:tc>
        <w:tc>
          <w:tcPr>
            <w:tcW w:w="3000" w:type="dxa"/>
          </w:tcPr>
          <w:p>
            <w:r>
              <w:t xml:space="preserve">Nur berechtigte HR-Anwender</w:t>
            </w:r>
          </w:p>
        </w:tc>
      </w:tr>
      <w:tr>
        <w:tc>
          <w:tcPr>
            <w:tcW w:w="3000" w:type="dxa"/>
          </w:tcPr>
          <w:p>
            <w:r>
              <w:t xml:space="preserve">Datenablage</w:t>
            </w:r>
          </w:p>
        </w:tc>
        <w:tc>
          <w:tcPr>
            <w:tcW w:w="3000" w:type="dxa"/>
          </w:tcPr>
          <w:p>
            <w:r>
              <w:t xml:space="preserve">Geschuetzter Datenordner</w:t>
            </w:r>
          </w:p>
        </w:tc>
      </w:tr>
      <w:tr>
        <w:tc>
          <w:tcPr>
            <w:tcW w:w="3000" w:type="dxa"/>
          </w:tcPr>
          <w:p>
            <w:r>
              <w:t xml:space="preserve">Weitergabe</w:t>
            </w:r>
          </w:p>
        </w:tc>
        <w:tc>
          <w:tcPr>
            <w:tcW w:w="3000" w:type="dxa"/>
          </w:tcPr>
          <w:p>
            <w:r>
              <w:t xml:space="preserve">Nur aggregierte oder freigegebene Auszuege</w:t>
            </w:r>
          </w:p>
        </w:tc>
      </w:tr>
      <w:tr>
        <w:tc>
          <w:tcPr>
            <w:tcW w:w="3000" w:type="dxa"/>
          </w:tcPr>
          <w:p>
            <w:r>
              <w:t xml:space="preserve">Fehleranalyse</w:t>
            </w:r>
          </w:p>
        </w:tc>
        <w:tc>
          <w:tcPr>
            <w:tcW w:w="3000" w:type="dxa"/>
          </w:tcPr>
          <w:p>
            <w:r>
              <w:t xml:space="preserve">Keine Personendaten ungeschuetzt kopieren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5. Cockpit laden und Datenstatus interpretieren</w:t>
      </w:r>
    </w:p>
    <w:p>
      <w:r>
        <w:t xml:space="preserve">Nach dem Laden zeigt der Reiter Datenstatus, welche Dateien gefunden wurden, wie viele Zeilen gelesen wurden und wie alt die Dateien sind.</w:t>
      </w:r>
    </w:p>
    <w:p>
      <w:r>
        <w:t xml:space="preserve">Grüne Stati bedeuten nicht automatisch fachliche Richtigkeit. Sie bestaetigen zuerst nur, dass die Datei technisch gefunden und gelesen werden konnte.</w:t>
      </w:r>
    </w:p>
    <w:p>
      <w:r>
        <w:t xml:space="preserve">Rote oder gelbe Hinweise müssen vor einer Managementauswertung geklärt werden.</w:t>
      </w:r>
    </w:p>
    <w:tbl>
      <w:tblPr>
        <w:tblStyle w:val="TableGrid"/>
        <w:tblW w:w="0" w:type="auto"/>
      </w:tblPr>
      <w:tr>
        <w:tc>
          <w:tcPr>
            <w:shd w:fill="D9EAF7"/>
            <w:tcW w:w="3000" w:type="dxa"/>
          </w:tcPr>
          <w:p>
            <w:r>
              <w:rPr>
                <w:b/>
              </w:rPr>
              <w:t xml:space="preserve">Status</w:t>
            </w:r>
          </w:p>
        </w:tc>
        <w:tc>
          <w:tcPr>
            <w:shd w:fill="D9EAF7"/>
            <w:tcW w:w="3000" w:type="dxa"/>
          </w:tcPr>
          <w:p>
            <w:r>
              <w:rPr>
                <w:b/>
              </w:rPr>
              <w:t xml:space="preserve">Bedeutung</w:t>
            </w:r>
          </w:p>
        </w:tc>
        <w:tc>
          <w:tcPr>
            <w:shd w:fill="D9EAF7"/>
            <w:tcW w:w="3000" w:type="dxa"/>
          </w:tcPr>
          <w:p>
            <w:r>
              <w:rPr>
                <w:b/>
              </w:rPr>
              <w:t xml:space="preserve">Aktion</w:t>
            </w:r>
          </w:p>
        </w:tc>
      </w:tr>
      <w:tr>
        <w:tc>
          <w:tcPr>
            <w:tcW w:w="3000" w:type="dxa"/>
          </w:tcPr>
          <w:p>
            <w:r>
              <w:t xml:space="preserve">Grün</w:t>
            </w:r>
          </w:p>
        </w:tc>
        <w:tc>
          <w:tcPr>
            <w:tcW w:w="3000" w:type="dxa"/>
          </w:tcPr>
          <w:p>
            <w:r>
              <w:t xml:space="preserve">Datei vorhanden und plausibel frisch</w:t>
            </w:r>
          </w:p>
        </w:tc>
        <w:tc>
          <w:tcPr>
            <w:tcW w:w="3000" w:type="dxa"/>
          </w:tcPr>
          <w:p>
            <w:r>
              <w:t xml:space="preserve">Kennzahlen prüfen</w:t>
            </w:r>
          </w:p>
        </w:tc>
      </w:tr>
      <w:tr>
        <w:tc>
          <w:tcPr>
            <w:tcW w:w="3000" w:type="dxa"/>
          </w:tcPr>
          <w:p>
            <w:r>
              <w:t xml:space="preserve">Gelb</w:t>
            </w:r>
          </w:p>
        </w:tc>
        <w:tc>
          <w:tcPr>
            <w:tcW w:w="3000" w:type="dxa"/>
          </w:tcPr>
          <w:p>
            <w:r>
              <w:t xml:space="preserve">Datei alt oder auffällig</w:t>
            </w:r>
          </w:p>
        </w:tc>
        <w:tc>
          <w:tcPr>
            <w:tcW w:w="3000" w:type="dxa"/>
          </w:tcPr>
          <w:p>
            <w:r>
              <w:t xml:space="preserve">Quelle kontrollieren</w:t>
            </w:r>
          </w:p>
        </w:tc>
      </w:tr>
      <w:tr>
        <w:tc>
          <w:tcPr>
            <w:tcW w:w="3000" w:type="dxa"/>
          </w:tcPr>
          <w:p>
            <w:r>
              <w:t xml:space="preserve">Rot</w:t>
            </w:r>
          </w:p>
        </w:tc>
        <w:tc>
          <w:tcPr>
            <w:tcW w:w="3000" w:type="dxa"/>
          </w:tcPr>
          <w:p>
            <w:r>
              <w:t xml:space="preserve">Datei fehlt oder nicht lesbar</w:t>
            </w:r>
          </w:p>
        </w:tc>
        <w:tc>
          <w:tcPr>
            <w:tcW w:w="3000" w:type="dxa"/>
          </w:tcPr>
          <w:p>
            <w:r>
              <w:t xml:space="preserve">Export/Pfad korrigieren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6. Überblick und Headcount</w:t>
      </w:r>
    </w:p>
    <w:p>
      <w:r>
        <w:t xml:space="preserve">Der Überblick zeigt die wichtigsten Steuerungszahlen. Headcount ist die Basis vieler weiterer Kennzahlen und muss deshalb zuerst plausibilisiert werden.</w:t>
      </w:r>
    </w:p>
    <w:p>
      <w:r>
        <w:t xml:space="preserve">Achten Sie auf Sprünge gegenüber dem Vormonat oder Vorjahr. Solche Sprünge können korrekt sein, müssen aber mit Ein- und Austritten erklärbar sein.</w:t>
      </w:r>
    </w:p>
    <w:p>
      <w:r>
        <w:t xml:space="preserve">Organisationseinheiten müssen stabil benannt sein, sonst werden Gruppen aufgesplittet.</w:t>
      </w:r>
    </w:p>
    <w:tbl>
      <w:tblPr>
        <w:tblStyle w:val="TableGrid"/>
        <w:tblW w:w="0" w:type="auto"/>
      </w:tblPr>
      <w:tr>
        <w:tc>
          <w:tcPr>
            <w:shd w:fill="D9EAF7"/>
            <w:tcW w:w="3000" w:type="dxa"/>
          </w:tcPr>
          <w:p>
            <w:r>
              <w:rPr>
                <w:b/>
              </w:rPr>
              <w:t xml:space="preserve">Kennzahl</w:t>
            </w:r>
          </w:p>
        </w:tc>
        <w:tc>
          <w:tcPr>
            <w:shd w:fill="D9EAF7"/>
            <w:tcW w:w="3000" w:type="dxa"/>
          </w:tcPr>
          <w:p>
            <w:r>
              <w:rPr>
                <w:b/>
              </w:rPr>
              <w:t xml:space="preserve">Beschreibung</w:t>
            </w:r>
          </w:p>
        </w:tc>
        <w:tc>
          <w:tcPr>
            <w:shd w:fill="D9EAF7"/>
            <w:tcW w:w="3000" w:type="dxa"/>
          </w:tcPr>
          <w:p>
            <w:r>
              <w:rPr>
                <w:b/>
              </w:rPr>
              <w:t xml:space="preserve">Plausibilitätsfrage</w:t>
            </w:r>
          </w:p>
        </w:tc>
      </w:tr>
      <w:tr>
        <w:tc>
          <w:tcPr>
            <w:tcW w:w="3000" w:type="dxa"/>
          </w:tcPr>
          <w:p>
            <w:r>
              <w:t xml:space="preserve">Headcount</w:t>
            </w:r>
          </w:p>
        </w:tc>
        <w:tc>
          <w:tcPr>
            <w:tcW w:w="3000" w:type="dxa"/>
          </w:tcPr>
          <w:p>
            <w:r>
              <w:t xml:space="preserve">Anzahl Mitarbeitende</w:t>
            </w:r>
          </w:p>
        </w:tc>
        <w:tc>
          <w:tcPr>
            <w:tcW w:w="3000" w:type="dxa"/>
          </w:tcPr>
          <w:p>
            <w:r>
              <w:t xml:space="preserve">Passt der Wert zum HR-Stichtag?</w:t>
            </w:r>
          </w:p>
        </w:tc>
      </w:tr>
      <w:tr>
        <w:tc>
          <w:tcPr>
            <w:tcW w:w="3000" w:type="dxa"/>
          </w:tcPr>
          <w:p>
            <w:r>
              <w:t xml:space="preserve">FTE</w:t>
            </w:r>
          </w:p>
        </w:tc>
        <w:tc>
          <w:tcPr>
            <w:tcW w:w="3000" w:type="dxa"/>
          </w:tcPr>
          <w:p>
            <w:r>
              <w:t xml:space="preserve">Beschäftigungsgrad-Nenner</w:t>
            </w:r>
          </w:p>
        </w:tc>
        <w:tc>
          <w:tcPr>
            <w:tcW w:w="3000" w:type="dxa"/>
          </w:tcPr>
          <w:p>
            <w:r>
              <w:t xml:space="preserve">Sind Teilzeitpensen korrekt?</w:t>
            </w:r>
          </w:p>
        </w:tc>
      </w:tr>
      <w:tr>
        <w:tc>
          <w:tcPr>
            <w:tcW w:w="3000" w:type="dxa"/>
          </w:tcPr>
          <w:p>
            <w:r>
              <w:t xml:space="preserve">Organisation</w:t>
            </w:r>
          </w:p>
        </w:tc>
        <w:tc>
          <w:tcPr>
            <w:tcW w:w="3000" w:type="dxa"/>
          </w:tcPr>
          <w:p>
            <w:r>
              <w:t xml:space="preserve">Gruppierung nach Organisation</w:t>
            </w:r>
          </w:p>
        </w:tc>
        <w:tc>
          <w:tcPr>
            <w:tcW w:w="3000" w:type="dxa"/>
          </w:tcPr>
          <w:p>
            <w:r>
              <w:t xml:space="preserve">Sind alte Schreibweisen bereinigt?</w:t>
            </w:r>
          </w:p>
        </w:tc>
      </w:tr>
    </w:tbl>
    <w:p>
      <w:r>
        <w:drawing>
          <wp:inline distT="0" distB="0" distL="0" distR="0">
            <wp:extent cx="4762500" cy="2381250"/>
            <wp:docPr id="1" name="Cockpit preview"/>
            <a:graphic>
              <a:graphicData uri="http://schemas.openxmlformats.org/drawingml/2006/picture">
                <pic:pic>
                  <pic:nvPicPr>
                    <pic:cNvPr id="0" name="preview.png"/>
                    <pic:cNvPicPr/>
                  </pic:nvPicPr>
                  <pic:blipFill>
                    <a:blip r:embed="rIdPreview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pStyle w:val="Heading1"/>
      </w:pPr>
      <w:r>
        <w:t xml:space="preserve">7. Fluktuation richtig lesen</w:t>
      </w:r>
    </w:p>
    <w:p>
      <w:r>
        <w:t xml:space="preserve">Die Fluktuation nutzt den durchschnittlichen Headcount als Nenner. Das ist fachlich stabiler als ein reiner Stichtagswert.</w:t>
      </w:r>
    </w:p>
    <w:p>
      <w:r>
        <w:t xml:space="preserve">Austrittsjahr ist optional. Ohne Auswahl werden alle Austritte gemaess Filter betrachtet. Von/Bis-Datum hat Vorrang vor Austrittsjahr.</w:t>
      </w:r>
    </w:p>
    <w:p>
      <w:r>
        <w:t xml:space="preserve">Freiwillige und unfreiwillige Austritte müssen getrennt bewertet werden. Nicht jede Austrittsart ist fluktuationsrelevant.</w:t>
      </w:r>
    </w:p>
    <w:tbl>
      <w:tblPr>
        <w:tblStyle w:val="TableGrid"/>
        <w:tblW w:w="0" w:type="auto"/>
      </w:tblPr>
      <w:tr>
        <w:tc>
          <w:tcPr>
            <w:shd w:fill="D9EAF7"/>
            <w:tcW w:w="3000" w:type="dxa"/>
          </w:tcPr>
          <w:p>
            <w:r>
              <w:rPr>
                <w:b/>
              </w:rPr>
              <w:t xml:space="preserve">Element</w:t>
            </w:r>
          </w:p>
        </w:tc>
        <w:tc>
          <w:tcPr>
            <w:shd w:fill="D9EAF7"/>
            <w:tcW w:w="3000" w:type="dxa"/>
          </w:tcPr>
          <w:p>
            <w:r>
              <w:rPr>
                <w:b/>
              </w:rPr>
              <w:t xml:space="preserve">Interpretation</w:t>
            </w:r>
          </w:p>
        </w:tc>
      </w:tr>
      <w:tr>
        <w:tc>
          <w:tcPr>
            <w:tcW w:w="3000" w:type="dxa"/>
          </w:tcPr>
          <w:p>
            <w:r>
              <w:t xml:space="preserve">Fluktuationsrate</w:t>
            </w:r>
          </w:p>
        </w:tc>
        <w:tc>
          <w:tcPr>
            <w:tcW w:w="3000" w:type="dxa"/>
          </w:tcPr>
          <w:p>
            <w:r>
              <w:t xml:space="preserve">Austritte im Verhaeltnis zum durchschnittlichen Headcount</w:t>
            </w:r>
          </w:p>
        </w:tc>
      </w:tr>
      <w:tr>
        <w:tc>
          <w:tcPr>
            <w:tcW w:w="3000" w:type="dxa"/>
          </w:tcPr>
          <w:p>
            <w:r>
              <w:t xml:space="preserve">Austritts-Funnel</w:t>
            </w:r>
          </w:p>
        </w:tc>
        <w:tc>
          <w:tcPr>
            <w:tcW w:w="3000" w:type="dxa"/>
          </w:tcPr>
          <w:p>
            <w:r>
              <w:t xml:space="preserve">Vom Total zu relevanten Austritten</w:t>
            </w:r>
          </w:p>
        </w:tc>
      </w:tr>
      <w:tr>
        <w:tc>
          <w:tcPr>
            <w:tcW w:w="3000" w:type="dxa"/>
          </w:tcPr>
          <w:p>
            <w:r>
              <w:t xml:space="preserve">Ausschlussgründe</w:t>
            </w:r>
          </w:p>
        </w:tc>
        <w:tc>
          <w:tcPr>
            <w:tcW w:w="3000" w:type="dxa"/>
          </w:tcPr>
          <w:p>
            <w:r>
              <w:t xml:space="preserve">Warum Austritte nicht in die Fluktuation fallen</w:t>
            </w:r>
          </w:p>
        </w:tc>
      </w:tr>
      <w:tr>
        <w:tc>
          <w:tcPr>
            <w:tcW w:w="3000" w:type="dxa"/>
          </w:tcPr>
          <w:p>
            <w:r>
              <w:t xml:space="preserve">Organisation</w:t>
            </w:r>
          </w:p>
        </w:tc>
        <w:tc>
          <w:tcPr>
            <w:tcW w:w="3000" w:type="dxa"/>
          </w:tcPr>
          <w:p>
            <w:r>
              <w:t xml:space="preserve">Wo relevante Austritte entstehen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8. Absenzen, Krankheit und Unfall</w:t>
      </w:r>
    </w:p>
    <w:p>
      <w:r>
        <w:t xml:space="preserve">Absenzen werden nach Organisation und Mitarbeitenden ausgewertet. Die Absenzenquote nutzt den FTE-Nenner und eine pauschale Arbeitstage-Logik.</w:t>
      </w:r>
    </w:p>
    <w:p>
      <w:r>
        <w:t xml:space="preserve">Kurz- und Langabsenzen helfen, operative Belastungen zu erkennen. Einzelne hohe Werte müssen mit HR-Kontext interpretiert werden.</w:t>
      </w:r>
    </w:p>
    <w:p>
      <w:r>
        <w:t xml:space="preserve">Unfalltage können je nach Quelle anders abgegrenzt sein als Krankheitsdaten. Deshalb immer Datenqualität und Dateiquelle beachten.</w:t>
      </w:r>
    </w:p>
    <w:tbl>
      <w:tblPr>
        <w:tblStyle w:val="TableGrid"/>
        <w:tblW w:w="0" w:type="auto"/>
      </w:tblPr>
      <w:tr>
        <w:tc>
          <w:tcPr>
            <w:shd w:fill="D9EAF7"/>
            <w:tcW w:w="3000" w:type="dxa"/>
          </w:tcPr>
          <w:p>
            <w:r>
              <w:rPr>
                <w:b/>
              </w:rPr>
              <w:t xml:space="preserve">Sicht</w:t>
            </w:r>
          </w:p>
        </w:tc>
        <w:tc>
          <w:tcPr>
            <w:shd w:fill="D9EAF7"/>
            <w:tcW w:w="3000" w:type="dxa"/>
          </w:tcPr>
          <w:p>
            <w:r>
              <w:rPr>
                <w:b/>
              </w:rPr>
              <w:t xml:space="preserve">Nutzen</w:t>
            </w:r>
          </w:p>
        </w:tc>
      </w:tr>
      <w:tr>
        <w:tc>
          <w:tcPr>
            <w:tcW w:w="3000" w:type="dxa"/>
          </w:tcPr>
          <w:p>
            <w:r>
              <w:t xml:space="preserve">Absenzen nach Organisation</w:t>
            </w:r>
          </w:p>
        </w:tc>
        <w:tc>
          <w:tcPr>
            <w:tcW w:w="3000" w:type="dxa"/>
          </w:tcPr>
          <w:p>
            <w:r>
              <w:t xml:space="preserve">Vergleich von Bereichen</w:t>
            </w:r>
          </w:p>
        </w:tc>
      </w:tr>
      <w:tr>
        <w:tc>
          <w:tcPr>
            <w:tcW w:w="3000" w:type="dxa"/>
          </w:tcPr>
          <w:p>
            <w:r>
              <w:t xml:space="preserve">Höchste Absenzen</w:t>
            </w:r>
          </w:p>
        </w:tc>
        <w:tc>
          <w:tcPr>
            <w:tcW w:w="3000" w:type="dxa"/>
          </w:tcPr>
          <w:p>
            <w:r>
              <w:t xml:space="preserve">Operative Einzelfallprüfung</w:t>
            </w:r>
          </w:p>
        </w:tc>
      </w:tr>
      <w:tr>
        <w:tc>
          <w:tcPr>
            <w:tcW w:w="3000" w:type="dxa"/>
          </w:tcPr>
          <w:p>
            <w:r>
              <w:t xml:space="preserve">Kurz/Lang</w:t>
            </w:r>
          </w:p>
        </w:tc>
        <w:tc>
          <w:tcPr>
            <w:tcW w:w="3000" w:type="dxa"/>
          </w:tcPr>
          <w:p>
            <w:r>
              <w:t xml:space="preserve">Muster in Krankheitstagen erkennen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9. GLZ, Restferien und Ampeln</w:t>
      </w:r>
    </w:p>
    <w:p>
      <w:r>
        <w:t xml:space="preserve">GLZ- und Restferien-Ampeln zeigen Handlungsbedarf. Die Ampel ist eine Orientierung, keine automatische HR-Entscheidung.</w:t>
      </w:r>
    </w:p>
    <w:p>
      <w:r>
        <w:t xml:space="preserve">Kritische Restferien können auf Planungsprobleme oder Datenfehler hinweisen. Kritische GLZ-Saldi sollten mit Linienverantwortlichen geprüft werden.</w:t>
      </w:r>
    </w:p>
    <w:p>
      <w:r>
        <w:t xml:space="preserve">Filter erlauben, nur kritische Fälle anzuzeigen und daraus operative Prüflisten zu erstellen.</w:t>
      </w:r>
    </w:p>
    <w:tbl>
      <w:tblPr>
        <w:tblStyle w:val="TableGrid"/>
        <w:tblW w:w="0" w:type="auto"/>
      </w:tblPr>
      <w:tr>
        <w:tc>
          <w:tcPr>
            <w:shd w:fill="D9EAF7"/>
            <w:tcW w:w="3000" w:type="dxa"/>
          </w:tcPr>
          <w:p>
            <w:r>
              <w:rPr>
                <w:b/>
              </w:rPr>
              <w:t xml:space="preserve">Ampel</w:t>
            </w:r>
          </w:p>
        </w:tc>
        <w:tc>
          <w:tcPr>
            <w:shd w:fill="D9EAF7"/>
            <w:tcW w:w="3000" w:type="dxa"/>
          </w:tcPr>
          <w:p>
            <w:r>
              <w:rPr>
                <w:b/>
              </w:rPr>
              <w:t xml:space="preserve">Typische Bedeutung</w:t>
            </w:r>
          </w:p>
        </w:tc>
      </w:tr>
      <w:tr>
        <w:tc>
          <w:tcPr>
            <w:tcW w:w="3000" w:type="dxa"/>
          </w:tcPr>
          <w:p>
            <w:r>
              <w:t xml:space="preserve">Grün</w:t>
            </w:r>
          </w:p>
        </w:tc>
        <w:tc>
          <w:tcPr>
            <w:tcW w:w="3000" w:type="dxa"/>
          </w:tcPr>
          <w:p>
            <w:r>
              <w:t xml:space="preserve">Kein unmittelbarer Handlungsbedarf</w:t>
            </w:r>
          </w:p>
        </w:tc>
      </w:tr>
      <w:tr>
        <w:tc>
          <w:tcPr>
            <w:tcW w:w="3000" w:type="dxa"/>
          </w:tcPr>
          <w:p>
            <w:r>
              <w:t xml:space="preserve">Gelb</w:t>
            </w:r>
          </w:p>
        </w:tc>
        <w:tc>
          <w:tcPr>
            <w:tcW w:w="3000" w:type="dxa"/>
          </w:tcPr>
          <w:p>
            <w:r>
              <w:t xml:space="preserve">Beobachten oder klären</w:t>
            </w:r>
          </w:p>
        </w:tc>
      </w:tr>
      <w:tr>
        <w:tc>
          <w:tcPr>
            <w:tcW w:w="3000" w:type="dxa"/>
          </w:tcPr>
          <w:p>
            <w:r>
              <w:t xml:space="preserve">Rot</w:t>
            </w:r>
          </w:p>
        </w:tc>
        <w:tc>
          <w:tcPr>
            <w:tcW w:w="3000" w:type="dxa"/>
          </w:tcPr>
          <w:p>
            <w:r>
              <w:t xml:space="preserve">Aktive Prüfung nötig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10. Datenqualität und typische Fehler</w:t>
      </w:r>
    </w:p>
    <w:p>
      <w:r>
        <w:t xml:space="preserve">Die Datenqualität markiert fehlende Dateien, alte Dateien, ungewöhnliche Werte und Join-Probleme. Diese Hinweise sind vor jeder Weitergabe zu prüfen.</w:t>
      </w:r>
    </w:p>
    <w:p>
      <w:r>
        <w:t xml:space="preserve">Typische Ursachen sind falsche Dateinamen, alte Downloads, unvollständige Rexx-Exporte, geänderte Spaltenüberschriften oder Testpersonen in den Quellen.</w:t>
      </w:r>
    </w:p>
    <w:p>
      <w:r>
        <w:t xml:space="preserve">Wenn Kennzahlen unerwartet aussehen, zuerst Datenstatus und Datenqualität lesen, danach Filter reduzieren und erst dann die Kennzahl fachlich interpretieren.</w:t>
      </w:r>
    </w:p>
    <w:tbl>
      <w:tblPr>
        <w:tblStyle w:val="TableGrid"/>
        <w:tblW w:w="0" w:type="auto"/>
      </w:tblPr>
      <w:tr>
        <w:tc>
          <w:tcPr>
            <w:shd w:fill="D9EAF7"/>
            <w:tcW w:w="3000" w:type="dxa"/>
          </w:tcPr>
          <w:p>
            <w:r>
              <w:rPr>
                <w:b/>
              </w:rPr>
              <w:t xml:space="preserve">Fehlerbild</w:t>
            </w:r>
          </w:p>
        </w:tc>
        <w:tc>
          <w:tcPr>
            <w:shd w:fill="D9EAF7"/>
            <w:tcW w:w="3000" w:type="dxa"/>
          </w:tcPr>
          <w:p>
            <w:r>
              <w:rPr>
                <w:b/>
              </w:rPr>
              <w:t xml:space="preserve">Mögliche Ursache</w:t>
            </w:r>
          </w:p>
        </w:tc>
        <w:tc>
          <w:tcPr>
            <w:shd w:fill="D9EAF7"/>
            <w:tcW w:w="3000" w:type="dxa"/>
          </w:tcPr>
          <w:p>
            <w:r>
              <w:rPr>
                <w:b/>
              </w:rPr>
              <w:t xml:space="preserve">Lösung</w:t>
            </w:r>
          </w:p>
        </w:tc>
      </w:tr>
      <w:tr>
        <w:tc>
          <w:tcPr>
            <w:tcW w:w="3000" w:type="dxa"/>
          </w:tcPr>
          <w:p>
            <w:r>
              <w:t xml:space="preserve">Keine Daten</w:t>
            </w:r>
          </w:p>
        </w:tc>
        <w:tc>
          <w:tcPr>
            <w:tcW w:w="3000" w:type="dxa"/>
          </w:tcPr>
          <w:p>
            <w:r>
              <w:t xml:space="preserve">Datei fehlt oder falscher Pfad</w:t>
            </w:r>
          </w:p>
        </w:tc>
        <w:tc>
          <w:tcPr>
            <w:tcW w:w="3000" w:type="dxa"/>
          </w:tcPr>
          <w:p>
            <w:r>
              <w:t xml:space="preserve">Datei ablegen und neu laden</w:t>
            </w:r>
          </w:p>
        </w:tc>
      </w:tr>
      <w:tr>
        <w:tc>
          <w:tcPr>
            <w:tcW w:w="3000" w:type="dxa"/>
          </w:tcPr>
          <w:p>
            <w:r>
              <w:t xml:space="preserve">Sprung im Headcount</w:t>
            </w:r>
          </w:p>
        </w:tc>
        <w:tc>
          <w:tcPr>
            <w:tcW w:w="3000" w:type="dxa"/>
          </w:tcPr>
          <w:p>
            <w:r>
              <w:t xml:space="preserve">neue Quelle oder Filter</w:t>
            </w:r>
          </w:p>
        </w:tc>
        <w:tc>
          <w:tcPr>
            <w:tcW w:w="3000" w:type="dxa"/>
          </w:tcPr>
          <w:p>
            <w:r>
              <w:t xml:space="preserve">Stichtag und Datei prüfen</w:t>
            </w:r>
          </w:p>
        </w:tc>
      </w:tr>
      <w:tr>
        <w:tc>
          <w:tcPr>
            <w:tcW w:w="3000" w:type="dxa"/>
          </w:tcPr>
          <w:p>
            <w:r>
              <w:t xml:space="preserve">Leere Organisation</w:t>
            </w:r>
          </w:p>
        </w:tc>
        <w:tc>
          <w:tcPr>
            <w:tcW w:w="3000" w:type="dxa"/>
          </w:tcPr>
          <w:p>
            <w:r>
              <w:t xml:space="preserve">fehlender Join</w:t>
            </w:r>
          </w:p>
        </w:tc>
        <w:tc>
          <w:tcPr>
            <w:tcW w:w="3000" w:type="dxa"/>
          </w:tcPr>
          <w:p>
            <w:r>
              <w:t xml:space="preserve">Quelldaten korrigieren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11. Managementsicht, Druck und PDF</w:t>
      </w:r>
    </w:p>
    <w:p>
      <w:r>
        <w:t xml:space="preserve">Die Managementsicht ist für Führungsberichte gedacht. Sie reduziert personenbezogene Details und konzentriert sich auf aggregierte Kennzahlen.</w:t>
      </w:r>
    </w:p>
    <w:p>
      <w:r>
        <w:t xml:space="preserve">Drucken/PDF erzeugt eine weitergebbare Browseransicht. Vor der Weitergabe muss geprüft werden, ob keine personenbezogenen Detailtabellen sichtbar sind.</w:t>
      </w:r>
    </w:p>
    <w:p>
      <w:r>
        <w:t xml:space="preserve">Für offizielle Berichte sollten immer Zeitraum, Datenstand, Filter und bekannte Einschränkungen genannt werden.</w:t>
      </w:r>
    </w:p>
    <w:tbl>
      <w:tblPr>
        <w:tblStyle w:val="TableGrid"/>
        <w:tblW w:w="0" w:type="auto"/>
      </w:tblPr>
      <w:tr>
        <w:tc>
          <w:tcPr>
            <w:shd w:fill="D9EAF7"/>
            <w:tcW w:w="3000" w:type="dxa"/>
          </w:tcPr>
          <w:p>
            <w:r>
              <w:rPr>
                <w:b/>
              </w:rPr>
              <w:t xml:space="preserve">Berichtselement</w:t>
            </w:r>
          </w:p>
        </w:tc>
        <w:tc>
          <w:tcPr>
            <w:shd w:fill="D9EAF7"/>
            <w:tcW w:w="3000" w:type="dxa"/>
          </w:tcPr>
          <w:p>
            <w:r>
              <w:rPr>
                <w:b/>
              </w:rPr>
              <w:t xml:space="preserve">Empfehlung</w:t>
            </w:r>
          </w:p>
        </w:tc>
      </w:tr>
      <w:tr>
        <w:tc>
          <w:tcPr>
            <w:tcW w:w="3000" w:type="dxa"/>
          </w:tcPr>
          <w:p>
            <w:r>
              <w:t xml:space="preserve">Zeitraum</w:t>
            </w:r>
          </w:p>
        </w:tc>
        <w:tc>
          <w:tcPr>
            <w:tcW w:w="3000" w:type="dxa"/>
          </w:tcPr>
          <w:p>
            <w:r>
              <w:t xml:space="preserve">Monat/Quartal/Jahr klar ausweisen</w:t>
            </w:r>
          </w:p>
        </w:tc>
      </w:tr>
      <w:tr>
        <w:tc>
          <w:tcPr>
            <w:tcW w:w="3000" w:type="dxa"/>
          </w:tcPr>
          <w:p>
            <w:r>
              <w:t xml:space="preserve">Datenstand</w:t>
            </w:r>
          </w:p>
        </w:tc>
        <w:tc>
          <w:tcPr>
            <w:tcW w:w="3000" w:type="dxa"/>
          </w:tcPr>
          <w:p>
            <w:r>
              <w:t xml:space="preserve">Datum der Quelldateien nennen</w:t>
            </w:r>
          </w:p>
        </w:tc>
      </w:tr>
      <w:tr>
        <w:tc>
          <w:tcPr>
            <w:tcW w:w="3000" w:type="dxa"/>
          </w:tcPr>
          <w:p>
            <w:r>
              <w:t xml:space="preserve">Filter</w:t>
            </w:r>
          </w:p>
        </w:tc>
        <w:tc>
          <w:tcPr>
            <w:tcW w:w="3000" w:type="dxa"/>
          </w:tcPr>
          <w:p>
            <w:r>
              <w:t xml:space="preserve">Organisation/Kostenstelle dokumentieren</w:t>
            </w:r>
          </w:p>
        </w:tc>
      </w:tr>
      <w:tr>
        <w:tc>
          <w:tcPr>
            <w:tcW w:w="3000" w:type="dxa"/>
          </w:tcPr>
          <w:p>
            <w:r>
              <w:t xml:space="preserve">Einschränkungen</w:t>
            </w:r>
          </w:p>
        </w:tc>
        <w:tc>
          <w:tcPr>
            <w:tcW w:w="3000" w:type="dxa"/>
          </w:tcPr>
          <w:p>
            <w:r>
              <w:t xml:space="preserve">offene Datenqualitätshinweise aufnehmen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12. Checkliste für produktive Nutzung</w:t>
      </w:r>
    </w:p>
    <w:p>
      <w:r>
        <w:t xml:space="preserve">Vor jeder produktiven Nutzung sollte die folgende Checkliste abgearbeitet werden. Sie verhindert, dass alte Dateien oder ungeprüfte Filter in Managementberichte gelangen.</w:t>
      </w:r>
    </w:p>
    <w:p>
      <w:r>
        <w:t xml:space="preserve">Bei roten Datenqualitätshinweisen keine Freigabe erteilen, bevor die Ursache verstanden ist.</w:t>
      </w:r>
    </w:p>
    <w:tbl>
      <w:tblPr>
        <w:tblStyle w:val="TableGrid"/>
        <w:tblW w:w="0" w:type="auto"/>
      </w:tblPr>
      <w:tr>
        <w:tc>
          <w:tcPr>
            <w:shd w:fill="D9EAF7"/>
            <w:tcW w:w="3000" w:type="dxa"/>
          </w:tcPr>
          <w:p>
            <w:r>
              <w:rPr>
                <w:b/>
              </w:rPr>
              <w:t xml:space="preserve">Nr.</w:t>
            </w:r>
          </w:p>
        </w:tc>
        <w:tc>
          <w:tcPr>
            <w:shd w:fill="D9EAF7"/>
            <w:tcW w:w="3000" w:type="dxa"/>
          </w:tcPr>
          <w:p>
            <w:r>
              <w:rPr>
                <w:b/>
              </w:rPr>
              <w:t xml:space="preserve">Checkpunkt</w:t>
            </w:r>
          </w:p>
        </w:tc>
        <w:tc>
          <w:tcPr>
            <w:shd w:fill="D9EAF7"/>
            <w:tcW w:w="3000" w:type="dxa"/>
          </w:tcPr>
          <w:p>
            <w:r>
              <w:rPr>
                <w:b/>
              </w:rPr>
              <w:t xml:space="preserve">OK?</w:t>
            </w:r>
          </w:p>
        </w:tc>
      </w:tr>
      <w:tr>
        <w:tc>
          <w:tcPr>
            <w:tcW w:w="3000" w:type="dxa"/>
          </w:tcPr>
          <w:p>
            <w:r>
              <w:t xml:space="preserve">1</w:t>
            </w:r>
          </w:p>
        </w:tc>
        <w:tc>
          <w:tcPr>
            <w:tcW w:w="3000" w:type="dxa"/>
          </w:tcPr>
          <w:p>
            <w:r>
              <w:t xml:space="preserve">Alle erwarteten Dateien vorhanden</w:t>
            </w:r>
          </w:p>
        </w:tc>
        <w:tc>
          <w:tcPr>
            <w:tcW w:w="3000" w:type="dxa"/>
          </w:tcPr>
          <w:p>
            <w:r>
              <w:t xml:space="preserve"/>
            </w:r>
          </w:p>
        </w:tc>
      </w:tr>
      <w:tr>
        <w:tc>
          <w:tcPr>
            <w:tcW w:w="3000" w:type="dxa"/>
          </w:tcPr>
          <w:p>
            <w:r>
              <w:t xml:space="preserve">2</w:t>
            </w:r>
          </w:p>
        </w:tc>
        <w:tc>
          <w:tcPr>
            <w:tcW w:w="3000" w:type="dxa"/>
          </w:tcPr>
          <w:p>
            <w:r>
              <w:t xml:space="preserve">Dateistatus aktuell</w:t>
            </w:r>
          </w:p>
        </w:tc>
        <w:tc>
          <w:tcPr>
            <w:tcW w:w="3000" w:type="dxa"/>
          </w:tcPr>
          <w:p>
            <w:r>
              <w:t xml:space="preserve"/>
            </w:r>
          </w:p>
        </w:tc>
      </w:tr>
      <w:tr>
        <w:tc>
          <w:tcPr>
            <w:tcW w:w="3000" w:type="dxa"/>
          </w:tcPr>
          <w:p>
            <w:r>
              <w:t xml:space="preserve">3</w:t>
            </w:r>
          </w:p>
        </w:tc>
        <w:tc>
          <w:tcPr>
            <w:tcW w:w="3000" w:type="dxa"/>
          </w:tcPr>
          <w:p>
            <w:r>
              <w:t xml:space="preserve">Headcount plausibel</w:t>
            </w:r>
          </w:p>
        </w:tc>
        <w:tc>
          <w:tcPr>
            <w:tcW w:w="3000" w:type="dxa"/>
          </w:tcPr>
          <w:p>
            <w:r>
              <w:t xml:space="preserve"/>
            </w:r>
          </w:p>
        </w:tc>
      </w:tr>
      <w:tr>
        <w:tc>
          <w:tcPr>
            <w:tcW w:w="3000" w:type="dxa"/>
          </w:tcPr>
          <w:p>
            <w:r>
              <w:t xml:space="preserve">4</w:t>
            </w:r>
          </w:p>
        </w:tc>
        <w:tc>
          <w:tcPr>
            <w:tcW w:w="3000" w:type="dxa"/>
          </w:tcPr>
          <w:p>
            <w:r>
              <w:t xml:space="preserve">Austritte und Absenzen plausibel</w:t>
            </w:r>
          </w:p>
        </w:tc>
        <w:tc>
          <w:tcPr>
            <w:tcW w:w="3000" w:type="dxa"/>
          </w:tcPr>
          <w:p>
            <w:r>
              <w:t xml:space="preserve"/>
            </w:r>
          </w:p>
        </w:tc>
      </w:tr>
      <w:tr>
        <w:tc>
          <w:tcPr>
            <w:tcW w:w="3000" w:type="dxa"/>
          </w:tcPr>
          <w:p>
            <w:r>
              <w:t xml:space="preserve">5</w:t>
            </w:r>
          </w:p>
        </w:tc>
        <w:tc>
          <w:tcPr>
            <w:tcW w:w="3000" w:type="dxa"/>
          </w:tcPr>
          <w:p>
            <w:r>
              <w:t xml:space="preserve">Filter dokumentiert</w:t>
            </w:r>
          </w:p>
        </w:tc>
        <w:tc>
          <w:tcPr>
            <w:tcW w:w="3000" w:type="dxa"/>
          </w:tcPr>
          <w:p>
            <w:r>
              <w:t xml:space="preserve"/>
            </w:r>
          </w:p>
        </w:tc>
      </w:tr>
      <w:tr>
        <w:tc>
          <w:tcPr>
            <w:tcW w:w="3000" w:type="dxa"/>
          </w:tcPr>
          <w:p>
            <w:r>
              <w:t xml:space="preserve">6</w:t>
            </w:r>
          </w:p>
        </w:tc>
        <w:tc>
          <w:tcPr>
            <w:tcW w:w="3000" w:type="dxa"/>
          </w:tcPr>
          <w:p>
            <w:r>
              <w:t xml:space="preserve">Managementsicht ohne Personendetails</w:t>
            </w:r>
          </w:p>
        </w:tc>
        <w:tc>
          <w:tcPr>
            <w:tcW w:w="3000" w:type="dxa"/>
          </w:tcPr>
          <w:p>
            <w:r>
              <w:t xml:space="preserve"/>
            </w:r>
          </w:p>
        </w:tc>
      </w:tr>
    </w:tbl>
    <w:sectPr>
      <w:pgSz w:w="11906" w:h="16838"/>
      <w:pgMar w:top="1134" w:right="850" w:bottom="1134" w:left="850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sz w:val="22"/>
    </w:rPr>
    <w:pPr>
      <w:spacing w:after="160"/>
    </w:pPr>
  </w:style>
  <w:style w:type="paragraph" w:styleId="Title">
    <w:name w:val="Title"/>
    <w:rPr>
      <w:b/>
      <w:sz w:val="36"/>
      <w:color w:val="B71C1C"/>
    </w:rPr>
    <w:pPr>
      <w:spacing w:after="260"/>
    </w:pPr>
  </w:style>
  <w:style w:type="paragraph" w:styleId="Subtitle">
    <w:name w:val="Subtitle"/>
    <w:rPr>
      <w:sz w:val="26"/>
      <w:color w:val="666666"/>
    </w:rPr>
    <w:pPr>
      <w:spacing w:after="240"/>
    </w:pPr>
  </w:style>
  <w:style w:type="paragraph" w:styleId="Heading1">
    <w:name w:val="heading 1"/>
    <w:rPr>
      <w:b/>
      <w:sz w:val="30"/>
      <w:color w:val="B71C1C"/>
    </w:rPr>
    <w:pPr>
      <w:spacing w:before="120" w:after="180"/>
    </w:pPr>
  </w:style>
  <w:style w:type="table" w:styleId="TableGrid">
    <w:name w:val="Table Grid"/>
    <w:tblPr>
      <w:tblBorders>
        <w:top w:val="single" w:sz="4" w:color="A6A6A6"/>
        <w:left w:val="single" w:sz="4" w:color="A6A6A6"/>
        <w:bottom w:val="single" w:sz="4" w:color="A6A6A6"/>
        <w:right w:val="single" w:sz="4" w:color="A6A6A6"/>
        <w:insideH w:val="single" w:sz="4" w:color="A6A6A6"/>
        <w:insideV w:val="single" w:sz="4" w:color="A6A6A6"/>
      </w:tblBorders>
    </w:tblPr>
  </w:style>
</w:styles>
</file>

<file path=word/_rels/document.xml.rels><?xml version="1.0" encoding="UTF-8" standalone="yes"?><Relationships xmlns="http://schemas.openxmlformats.org/package/2006/relationships"><Relationship Id="rIdStyles" Type="http://schemas.openxmlformats.org/officeDocument/2006/relationships/styles" Target="styles.xml"/><Relationship Id="rIdPreview" Type="http://schemas.openxmlformats.org/officeDocument/2006/relationships/image" Target="media/preview.png"/></Relationships>
</file>