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&#65279;<?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pStyle w:val="Heading1"/>
      </w:pPr>
      <w:r>
        <w:t xml:space="preserve">Finance Soll/Ist 2025 - CFO Kurzbericht</w:t>
      </w:r>
    </w:p>
    <w:p>
      <w:r>
        <w:t xml:space="preserve">Stand: 27.05.2026. Neu erstellte, reparierte Fassung mit CFO-Status, Laendertabelle, Berechnungsmethoden und IT/Intercompany-Diagnose.</w:t>
      </w:r>
    </w:p>
    <w:p>
      <w:pPr>
        <w:pStyle w:val="Heading1"/>
      </w:pPr>
      <w:r>
        <w:t xml:space="preserve">Geprueft gegen</w:t>
      </w:r>
    </w:p>
    <w:tbl>
      <w:tblPr>
        <w:tblW w:w="0" w:type="auto"/>
        <w:tblBorders>
          <w:top w:val="single" w:sz="4"/>
          <w:left w:val="single" w:sz="4"/>
          <w:bottom w:val="single" w:sz="4"/>
          <w:right w:val="single" w:sz="4"/>
          <w:insideH w:val="single" w:sz="4"/>
          <w:insideV w:val="single" w:sz="4"/>
        </w:tblBorders>
      </w:tblPr>
      <w:tr>
        <w:tc>
          <w:tcPr>
            <w:tcW w:w="0" w:type="auto"/>
          </w:tcPr>
          <w:p>
            <w:r>
              <w:rPr>
                <w:b/>
              </w:rPr>
              <w:t xml:space="preserve">Pruefung</w:t>
            </w:r>
          </w:p>
        </w:tc>
        <w:tc>
          <w:tcPr>
            <w:tcW w:w="0" w:type="auto"/>
          </w:tcPr>
          <w:p>
            <w:r>
              <w:rPr>
                <w:b/>
              </w:rPr>
              <w:t xml:space="preserve">Quelle / Referenz</w:t>
            </w:r>
          </w:p>
        </w:tc>
        <w:tc>
          <w:tcPr>
            <w:tcW w:w="0" w:type="auto"/>
          </w:tcPr>
          <w:p>
            <w:r>
              <w:rPr>
                <w:b/>
              </w:rPr>
              <w:t xml:space="preserve">Aussage</w:t>
            </w:r>
          </w:p>
        </w:tc>
      </w:tr>
      <w:tr>
        <w:tc>
          <w:tcPr>
            <w:tcW w:w="0" w:type="auto"/>
          </w:tcPr>
          <w:p>
            <w:r>
              <w:t xml:space="preserve">Sollwerte</w:t>
            </w:r>
          </w:p>
        </w:tc>
        <w:tc>
          <w:tcPr>
            <w:tcW w:w="0" w:type="auto"/>
          </w:tcPr>
          <w:p>
            <w:r>
              <w:t xml:space="preserve">Rhino / Andreas check.xlsx</w:t>
            </w:r>
          </w:p>
        </w:tc>
        <w:tc>
          <w:tcPr>
            <w:tcW w:w="0" w:type="auto"/>
          </w:tcPr>
          <w:p>
            <w:r>
              <w:t xml:space="preserve">Fuehrende Soll-Referenz im Bericht; Power-BI-Spalte wird nur als Excel-Sollwert interpretiert.</w:t>
            </w:r>
          </w:p>
        </w:tc>
      </w:tr>
      <w:tr>
        <w:tc>
          <w:tcPr>
            <w:tcW w:w="0" w:type="auto"/>
          </w:tcPr>
          <w:p>
            <w:r>
              <w:t xml:space="preserve">Istwerte</w:t>
            </w:r>
          </w:p>
        </w:tc>
        <w:tc>
          <w:tcPr>
            <w:tcW w:w="0" w:type="auto"/>
          </w:tcPr>
          <w:p>
            <w:r>
              <w:t xml:space="preserve">FinanceProbe / CentralSalesRecords</w:t>
            </w:r>
          </w:p>
        </w:tc>
        <w:tc>
          <w:tcPr>
            <w:tcW w:w="0" w:type="auto"/>
          </w:tcPr>
          <w:p>
            <w:r>
              <w:t xml:space="preserve">Landessysteme, zentrale Tabelle und FinanceReconciliationService.</w:t>
            </w:r>
          </w:p>
        </w:tc>
      </w:tr>
      <w:tr>
        <w:tc>
          <w:tcPr>
            <w:tcW w:w="0" w:type="auto"/>
          </w:tcPr>
          <w:p>
            <w:r>
              <w:t xml:space="preserve">ES</w:t>
            </w:r>
          </w:p>
        </w:tc>
        <w:tc>
          <w:tcPr>
            <w:tcW w:w="0" w:type="auto"/>
          </w:tcPr>
          <w:p>
            <w:r>
              <w:t xml:space="preserve">sagespain/v2/Spain_Sales_2025.csv</w:t>
            </w:r>
          </w:p>
        </w:tc>
        <w:tc>
          <w:tcPr>
            <w:tcW w:w="0" w:type="auto"/>
          </w:tcPr>
          <w:p>
            <w:r>
              <w:t xml:space="preserve">Direkter CSV-Check mit Serien und Gutschriften.</w:t>
            </w:r>
          </w:p>
        </w:tc>
      </w:tr>
      <w:tr>
        <w:tc>
          <w:tcPr>
            <w:tcW w:w="0" w:type="auto"/>
          </w:tcPr>
          <w:p>
            <w:r>
              <w:t xml:space="preserve">DE</w:t>
            </w:r>
          </w:p>
        </w:tc>
        <w:tc>
          <w:tcPr>
            <w:tcW w:w="0" w:type="auto"/>
          </w:tcPr>
          <w:p>
            <w:r>
              <w:t xml:space="preserve">DE_Beispiel_Export_Daten.xlsx</w:t>
            </w:r>
          </w:p>
        </w:tc>
        <w:tc>
          <w:tcPr>
            <w:tcW w:w="0" w:type="auto"/>
          </w:tcPr>
          <w:p>
            <w:r>
              <w:t xml:space="preserve">Nur Sample; nicht als Jahres-Istwert verwenden.</w:t>
            </w:r>
          </w:p>
        </w:tc>
      </w:tr>
      <w:tr>
        <w:tc>
          <w:tcPr>
            <w:tcW w:w="0" w:type="auto"/>
          </w:tcPr>
          <w:p>
            <w:r>
              <w:t xml:space="preserve">UK / EN</w:t>
            </w:r>
          </w:p>
        </w:tc>
        <w:tc>
          <w:tcPr>
            <w:tcW w:w="0" w:type="auto"/>
          </w:tcPr>
          <w:p>
            <w:r>
              <w:t xml:space="preserve">England Sage Manual-Excel / SharePoint-Ordner</w:t>
            </w:r>
          </w:p>
        </w:tc>
        <w:tc>
          <w:tcPr>
            <w:tcW w:w="0" w:type="auto"/>
          </w:tcPr>
          <w:p>
            <w:r>
              <w:t xml:space="preserve">Sage-Mapping korrigiert; Restdifferenz fachlich pruefen.</w:t>
            </w:r>
          </w:p>
        </w:tc>
      </w:tr>
    </w:tbl>
    <w:p>
      <w:pPr>
        <w:pStyle w:val="Heading1"/>
      </w:pPr>
      <w:r>
        <w:t xml:space="preserve">Management-Ampel</w:t>
      </w:r>
    </w:p>
    <w:tbl>
      <w:tblPr>
        <w:tblW w:w="0" w:type="auto"/>
        <w:tblBorders>
          <w:top w:val="single" w:sz="4"/>
          <w:left w:val="single" w:sz="4"/>
          <w:bottom w:val="single" w:sz="4"/>
          <w:right w:val="single" w:sz="4"/>
          <w:insideH w:val="single" w:sz="4"/>
          <w:insideV w:val="single" w:sz="4"/>
        </w:tblBorders>
      </w:tblPr>
      <w:tr>
        <w:tc>
          <w:tcPr>
            <w:tcW w:w="0" w:type="auto"/>
          </w:tcPr>
          <w:p>
            <w:r>
              <w:rPr>
                <w:b/>
              </w:rPr>
              <w:t xml:space="preserve">Status</w:t>
            </w:r>
          </w:p>
        </w:tc>
        <w:tc>
          <w:tcPr>
            <w:tcW w:w="0" w:type="auto"/>
          </w:tcPr>
          <w:p>
            <w:r>
              <w:rPr>
                <w:b/>
              </w:rPr>
              <w:t xml:space="preserve">Laender / Themen</w:t>
            </w:r>
          </w:p>
        </w:tc>
        <w:tc>
          <w:tcPr>
            <w:tcW w:w="0" w:type="auto"/>
          </w:tcPr>
          <w:p>
            <w:r>
              <w:rPr>
                <w:b/>
              </w:rPr>
              <w:t xml:space="preserve">Aussage</w:t>
            </w:r>
          </w:p>
        </w:tc>
      </w:tr>
      <w:tr>
        <w:tc>
          <w:tcPr>
            <w:tcW w:w="0" w:type="auto"/>
          </w:tcPr>
          <w:p>
            <w:r>
              <w:t xml:space="preserve">OK</w:t>
            </w:r>
          </w:p>
        </w:tc>
        <w:tc>
          <w:tcPr>
            <w:tcW w:w="0" w:type="auto"/>
          </w:tcPr>
          <w:p>
            <w:r>
              <w:t xml:space="preserve">FR, IN, US</w:t>
            </w:r>
          </w:p>
        </w:tc>
        <w:tc>
          <w:tcPr>
            <w:tcW w:w="0" w:type="auto"/>
          </w:tcPr>
          <w:p>
            <w:r>
              <w:t xml:space="preserve">Rechnerisch freigabefaehig.</w:t>
            </w:r>
          </w:p>
        </w:tc>
      </w:tr>
      <w:tr>
        <w:tc>
          <w:tcPr>
            <w:tcW w:w="0" w:type="auto"/>
          </w:tcPr>
          <w:p>
            <w:r>
              <w:t xml:space="preserve">Klaeren</w:t>
            </w:r>
          </w:p>
        </w:tc>
        <w:tc>
          <w:tcPr>
            <w:tcW w:w="0" w:type="auto"/>
          </w:tcPr>
          <w:p>
            <w:r>
              <w:t xml:space="preserve">AT, ES</w:t>
            </w:r>
          </w:p>
        </w:tc>
        <w:tc>
          <w:tcPr>
            <w:tcW w:w="0" w:type="auto"/>
          </w:tcPr>
          <w:p>
            <w:r>
              <w:t xml:space="preserve">Kleine bis mittlere Differenzen fachlich klaeren.</w:t>
            </w:r>
          </w:p>
        </w:tc>
      </w:tr>
      <w:tr>
        <w:tc>
          <w:tcPr>
            <w:tcW w:w="0" w:type="auto"/>
          </w:tcPr>
          <w:p>
            <w:r>
              <w:t xml:space="preserve">Hoch</w:t>
            </w:r>
          </w:p>
        </w:tc>
        <w:tc>
          <w:tcPr>
            <w:tcW w:w="0" w:type="auto"/>
          </w:tcPr>
          <w:p>
            <w:r>
              <w:t xml:space="preserve">UK/EN, DE, CH</w:t>
            </w:r>
          </w:p>
        </w:tc>
        <w:tc>
          <w:tcPr>
            <w:tcW w:w="0" w:type="auto"/>
          </w:tcPr>
          <w:p>
            <w:r>
              <w:t xml:space="preserve">Datenvollstaendigkeit, finale Dateien und Sollzuordnung klaeren.</w:t>
            </w:r>
          </w:p>
        </w:tc>
      </w:tr>
      <w:tr>
        <w:tc>
          <w:tcPr>
            <w:tcW w:w="0" w:type="auto"/>
          </w:tcPr>
          <w:p>
            <w:r>
              <w:t xml:space="preserve">Kritisch</w:t>
            </w:r>
          </w:p>
        </w:tc>
        <w:tc>
          <w:tcPr>
            <w:tcW w:w="0" w:type="auto"/>
          </w:tcPr>
          <w:p>
            <w:r>
              <w:t xml:space="preserve">IT</w:t>
            </w:r>
          </w:p>
        </w:tc>
        <w:tc>
          <w:tcPr>
            <w:tcW w:w="0" w:type="auto"/>
          </w:tcPr>
          <w:p>
            <w:r>
              <w:t xml:space="preserve">Groesster Hebel: +7.0 Mio. EUR Abweichung und offene Berechnungsart.</w:t>
            </w:r>
          </w:p>
        </w:tc>
      </w:tr>
    </w:tbl>
    <w:p>
      <w:pPr>
        <w:pStyle w:val="Heading1"/>
      </w:pPr>
      <w:r>
        <w:t xml:space="preserve">Laendertabelle mit Massnahmen</w:t>
      </w:r>
    </w:p>
    <w:tbl>
      <w:tblPr>
        <w:tblW w:w="0" w:type="auto"/>
        <w:tblBorders>
          <w:top w:val="single" w:sz="4"/>
          <w:left w:val="single" w:sz="4"/>
          <w:bottom w:val="single" w:sz="4"/>
          <w:right w:val="single" w:sz="4"/>
          <w:insideH w:val="single" w:sz="4"/>
          <w:insideV w:val="single" w:sz="4"/>
        </w:tblBorders>
      </w:tblPr>
      <w:tr>
        <w:tc>
          <w:tcPr>
            <w:tcW w:w="0" w:type="auto"/>
          </w:tcPr>
          <w:p>
            <w:r>
              <w:rPr>
                <w:b/>
              </w:rPr>
              <w:t xml:space="preserve">Land</w:t>
            </w:r>
          </w:p>
        </w:tc>
        <w:tc>
          <w:tcPr>
            <w:tcW w:w="0" w:type="auto"/>
          </w:tcPr>
          <w:p>
            <w:r>
              <w:rPr>
                <w:b/>
              </w:rPr>
              <w:t xml:space="preserve">Status</w:t>
            </w:r>
          </w:p>
        </w:tc>
        <w:tc>
          <w:tcPr>
            <w:tcW w:w="0" w:type="auto"/>
          </w:tcPr>
          <w:p>
            <w:r>
              <w:rPr>
                <w:b/>
              </w:rPr>
              <w:t xml:space="preserve">Ist</w:t>
            </w:r>
          </w:p>
        </w:tc>
        <w:tc>
          <w:tcPr>
            <w:tcW w:w="0" w:type="auto"/>
          </w:tcPr>
          <w:p>
            <w:r>
              <w:rPr>
                <w:b/>
              </w:rPr>
              <w:t xml:space="preserve">Soll / Rhino</w:t>
            </w:r>
          </w:p>
        </w:tc>
        <w:tc>
          <w:tcPr>
            <w:tcW w:w="0" w:type="auto"/>
          </w:tcPr>
          <w:p>
            <w:r>
              <w:rPr>
                <w:b/>
              </w:rPr>
              <w:t xml:space="preserve">Abweichung</w:t>
            </w:r>
          </w:p>
        </w:tc>
        <w:tc>
          <w:tcPr>
            <w:tcW w:w="0" w:type="auto"/>
          </w:tcPr>
          <w:p>
            <w:r>
              <w:rPr>
                <w:b/>
              </w:rPr>
              <w:t xml:space="preserve">Empfehlung / Massnahme</w:t>
            </w:r>
          </w:p>
        </w:tc>
        <w:tc>
          <w:tcPr>
            <w:tcW w:w="0" w:type="auto"/>
          </w:tcPr>
          <w:p>
            <w:r>
              <w:rPr>
                <w:b/>
              </w:rPr>
              <w:t xml:space="preserve">Prio</w:t>
            </w:r>
          </w:p>
        </w:tc>
      </w:tr>
      <w:tr>
        <w:tc>
          <w:tcPr>
            <w:tcW w:w="0" w:type="auto"/>
          </w:tcPr>
          <w:p>
            <w:r>
              <w:t xml:space="preserve">FR</w:t>
            </w:r>
          </w:p>
        </w:tc>
        <w:tc>
          <w:tcPr>
            <w:tcW w:w="0" w:type="auto"/>
          </w:tcPr>
          <w:p>
            <w:r>
              <w:t xml:space="preserve">OK</w:t>
            </w:r>
          </w:p>
        </w:tc>
        <w:tc>
          <w:tcPr>
            <w:tcW w:w="0" w:type="auto"/>
          </w:tcPr>
          <w:p>
            <w:r>
              <w:t xml:space="preserve">1'471'218.44 EUR</w:t>
            </w:r>
          </w:p>
        </w:tc>
        <w:tc>
          <w:tcPr>
            <w:tcW w:w="0" w:type="auto"/>
          </w:tcPr>
          <w:p>
            <w:r>
              <w:t xml:space="preserve">1'471'218.00 Rhino</w:t>
            </w:r>
          </w:p>
        </w:tc>
        <w:tc>
          <w:tcPr>
            <w:tcW w:w="0" w:type="auto"/>
          </w:tcPr>
          <w:p>
            <w:r>
              <w:t xml:space="preserve">0.44</w:t>
            </w:r>
          </w:p>
        </w:tc>
        <w:tc>
          <w:tcPr>
            <w:tcW w:w="0" w:type="auto"/>
          </w:tcPr>
          <w:p>
            <w:r>
              <w:t xml:space="preserve">Freigeben, Standard-Monitoring.</w:t>
            </w:r>
          </w:p>
        </w:tc>
        <w:tc>
          <w:tcPr>
            <w:tcW w:w="0" w:type="auto"/>
          </w:tcPr>
          <w:p>
            <w:r>
              <w:t xml:space="preserve">Niedrig</w:t>
            </w:r>
          </w:p>
        </w:tc>
      </w:tr>
      <w:tr>
        <w:tc>
          <w:tcPr>
            <w:tcW w:w="0" w:type="auto"/>
          </w:tcPr>
          <w:p>
            <w:r>
              <w:t xml:space="preserve">IN</w:t>
            </w:r>
          </w:p>
        </w:tc>
        <w:tc>
          <w:tcPr>
            <w:tcW w:w="0" w:type="auto"/>
          </w:tcPr>
          <w:p>
            <w:r>
              <w:t xml:space="preserve">OK</w:t>
            </w:r>
          </w:p>
        </w:tc>
        <w:tc>
          <w:tcPr>
            <w:tcW w:w="0" w:type="auto"/>
          </w:tcPr>
          <w:p>
            <w:r>
              <w:t xml:space="preserve">750'936'591.38 INR</w:t>
            </w:r>
          </w:p>
        </w:tc>
        <w:tc>
          <w:tcPr>
            <w:tcW w:w="0" w:type="auto"/>
          </w:tcPr>
          <w:p>
            <w:r>
              <w:t xml:space="preserve">750'936'591.00 Rhino</w:t>
            </w:r>
          </w:p>
        </w:tc>
        <w:tc>
          <w:tcPr>
            <w:tcW w:w="0" w:type="auto"/>
          </w:tcPr>
          <w:p>
            <w:r>
              <w:t xml:space="preserve">0.38</w:t>
            </w:r>
          </w:p>
        </w:tc>
        <w:tc>
          <w:tcPr>
            <w:tcW w:w="0" w:type="auto"/>
          </w:tcPr>
          <w:p>
            <w:r>
              <w:t xml:space="preserve">INR bestaetigt. Export-Authentifizierung separat stabilisieren.</w:t>
            </w:r>
          </w:p>
        </w:tc>
        <w:tc>
          <w:tcPr>
            <w:tcW w:w="0" w:type="auto"/>
          </w:tcPr>
          <w:p>
            <w:r>
              <w:t xml:space="preserve">Niedrig</w:t>
            </w:r>
          </w:p>
        </w:tc>
      </w:tr>
      <w:tr>
        <w:tc>
          <w:tcPr>
            <w:tcW w:w="0" w:type="auto"/>
          </w:tcPr>
          <w:p>
            <w:r>
              <w:t xml:space="preserve">US</w:t>
            </w:r>
          </w:p>
        </w:tc>
        <w:tc>
          <w:tcPr>
            <w:tcW w:w="0" w:type="auto"/>
          </w:tcPr>
          <w:p>
            <w:r>
              <w:t xml:space="preserve">OK</w:t>
            </w:r>
          </w:p>
        </w:tc>
        <w:tc>
          <w:tcPr>
            <w:tcW w:w="0" w:type="auto"/>
          </w:tcPr>
          <w:p>
            <w:r>
              <w:t xml:space="preserve">3'749'865.33 USD</w:t>
            </w:r>
          </w:p>
        </w:tc>
        <w:tc>
          <w:tcPr>
            <w:tcW w:w="0" w:type="auto"/>
          </w:tcPr>
          <w:p>
            <w:r>
              <w:t xml:space="preserve">3'749'865.00 Rhino</w:t>
            </w:r>
          </w:p>
        </w:tc>
        <w:tc>
          <w:tcPr>
            <w:tcW w:w="0" w:type="auto"/>
          </w:tcPr>
          <w:p>
            <w:r>
              <w:t xml:space="preserve">0.33</w:t>
            </w:r>
          </w:p>
        </w:tc>
        <w:tc>
          <w:tcPr>
            <w:tcW w:w="0" w:type="auto"/>
          </w:tcPr>
          <w:p>
            <w:r>
              <w:t xml:space="preserve">Freigeben, USD-Normalisierung beibehalten.</w:t>
            </w:r>
          </w:p>
        </w:tc>
        <w:tc>
          <w:tcPr>
            <w:tcW w:w="0" w:type="auto"/>
          </w:tcPr>
          <w:p>
            <w:r>
              <w:t xml:space="preserve">Niedrig</w:t>
            </w:r>
          </w:p>
        </w:tc>
      </w:tr>
      <w:tr>
        <w:tc>
          <w:tcPr>
            <w:tcW w:w="0" w:type="auto"/>
          </w:tcPr>
          <w:p>
            <w:r>
              <w:t xml:space="preserve">AT</w:t>
            </w:r>
          </w:p>
        </w:tc>
        <w:tc>
          <w:tcPr>
            <w:tcW w:w="0" w:type="auto"/>
          </w:tcPr>
          <w:p>
            <w:r>
              <w:t xml:space="preserve">Klaeren</w:t>
            </w:r>
          </w:p>
        </w:tc>
        <w:tc>
          <w:tcPr>
            <w:tcW w:w="0" w:type="auto"/>
          </w:tcPr>
          <w:p>
            <w:r>
              <w:t xml:space="preserve">3'438'121.37 EUR</w:t>
            </w:r>
          </w:p>
        </w:tc>
        <w:tc>
          <w:tcPr>
            <w:tcW w:w="0" w:type="auto"/>
          </w:tcPr>
          <w:p>
            <w:r>
              <w:t xml:space="preserve">3'443'863.00 Rhino</w:t>
            </w:r>
          </w:p>
        </w:tc>
        <w:tc>
          <w:tcPr>
            <w:tcW w:w="0" w:type="auto"/>
          </w:tcPr>
          <w:p>
            <w:r>
              <w:t xml:space="preserve">-5'741.63</w:t>
            </w:r>
          </w:p>
        </w:tc>
        <w:tc>
          <w:tcPr>
            <w:tcW w:w="0" w:type="auto"/>
          </w:tcPr>
          <w:p>
            <w:r>
              <w:t xml:space="preserve">Perioden, Rundung, Gutschriften und IC-Anteil pruefen.</w:t>
            </w:r>
          </w:p>
        </w:tc>
        <w:tc>
          <w:tcPr>
            <w:tcW w:w="0" w:type="auto"/>
          </w:tcPr>
          <w:p>
            <w:r>
              <w:t xml:space="preserve">Mittel</w:t>
            </w:r>
          </w:p>
        </w:tc>
      </w:tr>
      <w:tr>
        <w:tc>
          <w:tcPr>
            <w:tcW w:w="0" w:type="auto"/>
          </w:tcPr>
          <w:p>
            <w:r>
              <w:t xml:space="preserve">ES</w:t>
            </w:r>
          </w:p>
        </w:tc>
        <w:tc>
          <w:tcPr>
            <w:tcW w:w="0" w:type="auto"/>
          </w:tcPr>
          <w:p>
            <w:r>
              <w:t xml:space="preserve">Klaeren</w:t>
            </w:r>
          </w:p>
        </w:tc>
        <w:tc>
          <w:tcPr>
            <w:tcW w:w="0" w:type="auto"/>
          </w:tcPr>
          <w:p>
            <w:r>
              <w:t xml:space="preserve">3'082'320.18 EUR</w:t>
            </w:r>
          </w:p>
        </w:tc>
        <w:tc>
          <w:tcPr>
            <w:tcW w:w="0" w:type="auto"/>
          </w:tcPr>
          <w:p>
            <w:r>
              <w:t xml:space="preserve">3'102'333.61 Rhino</w:t>
            </w:r>
          </w:p>
        </w:tc>
        <w:tc>
          <w:tcPr>
            <w:tcW w:w="0" w:type="auto"/>
          </w:tcPr>
          <w:p>
            <w:r>
              <w:t xml:space="preserve">-20'013.43</w:t>
            </w:r>
          </w:p>
        </w:tc>
        <w:tc>
          <w:tcPr>
            <w:tcW w:w="0" w:type="auto"/>
          </w:tcPr>
          <w:p>
            <w:r>
              <w:t xml:space="preserve">Serien REG/LAT/PRO/REC, Gutschriften und Datumsabgrenzung pruefen.</w:t>
            </w:r>
          </w:p>
        </w:tc>
        <w:tc>
          <w:tcPr>
            <w:tcW w:w="0" w:type="auto"/>
          </w:tcPr>
          <w:p>
            <w:r>
              <w:t xml:space="preserve">Mittel</w:t>
            </w:r>
          </w:p>
        </w:tc>
      </w:tr>
      <w:tr>
        <w:tc>
          <w:tcPr>
            <w:tcW w:w="0" w:type="auto"/>
          </w:tcPr>
          <w:p>
            <w:r>
              <w:t xml:space="preserve">UK / EN</w:t>
            </w:r>
          </w:p>
        </w:tc>
        <w:tc>
          <w:tcPr>
            <w:tcW w:w="0" w:type="auto"/>
          </w:tcPr>
          <w:p>
            <w:r>
              <w:t xml:space="preserve">Hoch</w:t>
            </w:r>
          </w:p>
        </w:tc>
        <w:tc>
          <w:tcPr>
            <w:tcW w:w="0" w:type="auto"/>
          </w:tcPr>
          <w:p>
            <w:r>
              <w:t xml:space="preserve">3'533'710.09 GBP</w:t>
            </w:r>
          </w:p>
        </w:tc>
        <w:tc>
          <w:tcPr>
            <w:tcW w:w="0" w:type="auto"/>
          </w:tcPr>
          <w:p>
            <w:r>
              <w:t xml:space="preserve">3'749'865.00 Rhino</w:t>
            </w:r>
          </w:p>
        </w:tc>
        <w:tc>
          <w:tcPr>
            <w:tcW w:w="0" w:type="auto"/>
          </w:tcPr>
          <w:p>
            <w:r>
              <w:t xml:space="preserve">-216'154.91</w:t>
            </w:r>
          </w:p>
        </w:tc>
        <w:tc>
          <w:tcPr>
            <w:tcW w:w="0" w:type="auto"/>
          </w:tcPr>
          <w:p>
            <w:r>
              <w:t xml:space="preserve">Jahresvollstaendigkeit, Discounts/Freight/Charges und 2nd-/3rd-party pruefen.</w:t>
            </w:r>
          </w:p>
        </w:tc>
        <w:tc>
          <w:tcPr>
            <w:tcW w:w="0" w:type="auto"/>
          </w:tcPr>
          <w:p>
            <w:r>
              <w:t xml:space="preserve">Hoch</w:t>
            </w:r>
          </w:p>
        </w:tc>
      </w:tr>
      <w:tr>
        <w:tc>
          <w:tcPr>
            <w:tcW w:w="0" w:type="auto"/>
          </w:tcPr>
          <w:p>
            <w:r>
              <w:t xml:space="preserve">DE</w:t>
            </w:r>
          </w:p>
        </w:tc>
        <w:tc>
          <w:tcPr>
            <w:tcW w:w="0" w:type="auto"/>
          </w:tcPr>
          <w:p>
            <w:r>
              <w:t xml:space="preserve">Offen</w:t>
            </w:r>
          </w:p>
        </w:tc>
        <w:tc>
          <w:tcPr>
            <w:tcW w:w="0" w:type="auto"/>
          </w:tcPr>
          <w:p>
            <w:r>
              <w:t xml:space="preserve">Sample 8'290.70 EUR</w:t>
            </w:r>
          </w:p>
        </w:tc>
        <w:tc>
          <w:tcPr>
            <w:tcW w:w="0" w:type="auto"/>
          </w:tcPr>
          <w:p>
            <w:r>
              <w:t xml:space="preserve">3'635'923.00 Rhino</w:t>
            </w:r>
          </w:p>
        </w:tc>
        <w:tc>
          <w:tcPr>
            <w:tcW w:w="0" w:type="auto"/>
          </w:tcPr>
          <w:p>
            <w:r>
              <w:t xml:space="preserve">nicht belastbar</w:t>
            </w:r>
          </w:p>
        </w:tc>
        <w:tc>
          <w:tcPr>
            <w:tcW w:w="0" w:type="auto"/>
          </w:tcPr>
          <w:p>
            <w:r>
              <w:t xml:space="preserve">Finalen Deutschland-Jahresexport beschaffen; Sample nicht verwenden.</w:t>
            </w:r>
          </w:p>
        </w:tc>
        <w:tc>
          <w:tcPr>
            <w:tcW w:w="0" w:type="auto"/>
          </w:tcPr>
          <w:p>
            <w:r>
              <w:t xml:space="preserve">Hoch</w:t>
            </w:r>
          </w:p>
        </w:tc>
      </w:tr>
      <w:tr>
        <w:tc>
          <w:tcPr>
            <w:tcW w:w="0" w:type="auto"/>
          </w:tcPr>
          <w:p>
            <w:r>
              <w:t xml:space="preserve">CH</w:t>
            </w:r>
          </w:p>
        </w:tc>
        <w:tc>
          <w:tcPr>
            <w:tcW w:w="0" w:type="auto"/>
          </w:tcPr>
          <w:p>
            <w:r>
              <w:t xml:space="preserve">Offen</w:t>
            </w:r>
          </w:p>
        </w:tc>
        <w:tc>
          <w:tcPr>
            <w:tcW w:w="0" w:type="auto"/>
          </w:tcPr>
          <w:p>
            <w:r>
              <w:t xml:space="preserve">43'521'390.82 CHF</w:t>
            </w:r>
          </w:p>
        </w:tc>
        <w:tc>
          <w:tcPr>
            <w:tcW w:w="0" w:type="auto"/>
          </w:tcPr>
          <w:p>
            <w:r>
              <w:t xml:space="preserve">Sollvergleich offen</w:t>
            </w:r>
          </w:p>
        </w:tc>
        <w:tc>
          <w:tcPr>
            <w:tcW w:w="0" w:type="auto"/>
          </w:tcPr>
          <w:p>
            <w:r>
              <w:t xml:space="preserve">nicht belastbar</w:t>
            </w:r>
          </w:p>
        </w:tc>
        <w:tc>
          <w:tcPr>
            <w:tcW w:w="0" w:type="auto"/>
          </w:tcPr>
          <w:p>
            <w:r>
              <w:t xml:space="preserve">CH-Sollwert und Trennung CH/AT finalisieren.</w:t>
            </w:r>
          </w:p>
        </w:tc>
        <w:tc>
          <w:tcPr>
            <w:tcW w:w="0" w:type="auto"/>
          </w:tcPr>
          <w:p>
            <w:r>
              <w:t xml:space="preserve">Hoch</w:t>
            </w:r>
          </w:p>
        </w:tc>
      </w:tr>
      <w:tr>
        <w:tc>
          <w:tcPr>
            <w:tcW w:w="0" w:type="auto"/>
          </w:tcPr>
          <w:p>
            <w:r>
              <w:t xml:space="preserve">IT</w:t>
            </w:r>
          </w:p>
        </w:tc>
        <w:tc>
          <w:tcPr>
            <w:tcW w:w="0" w:type="auto"/>
          </w:tcPr>
          <w:p>
            <w:r>
              <w:t xml:space="preserve">Kritisch</w:t>
            </w:r>
          </w:p>
        </w:tc>
        <w:tc>
          <w:tcPr>
            <w:tcW w:w="0" w:type="auto"/>
          </w:tcPr>
          <w:p>
            <w:r>
              <w:t xml:space="preserve">14'704'336.29 EUR</w:t>
            </w:r>
          </w:p>
        </w:tc>
        <w:tc>
          <w:tcPr>
            <w:tcW w:w="0" w:type="auto"/>
          </w:tcPr>
          <w:p>
            <w:r>
              <w:t xml:space="preserve">7'669'840.00 Rhino</w:t>
            </w:r>
          </w:p>
        </w:tc>
        <w:tc>
          <w:tcPr>
            <w:tcW w:w="0" w:type="auto"/>
          </w:tcPr>
          <w:p>
            <w:r>
              <w:t xml:space="preserve">+7'034'496.29</w:t>
            </w:r>
          </w:p>
        </w:tc>
        <w:tc>
          <w:tcPr>
            <w:tcW w:w="0" w:type="auto"/>
          </w:tcPr>
          <w:p>
            <w:r>
              <w:t xml:space="preserve">Prioritaet 1: richtige Berechnungsart, Deduplizierung und IC-Anteil gegen Rhino pruefen.</w:t>
            </w:r>
          </w:p>
        </w:tc>
        <w:tc>
          <w:tcPr>
            <w:tcW w:w="0" w:type="auto"/>
          </w:tcPr>
          <w:p>
            <w:r>
              <w:t xml:space="preserve">Sehr hoch</w:t>
            </w:r>
          </w:p>
        </w:tc>
      </w:tr>
    </w:tbl>
    <w:p>
      <w:pPr>
        <w:pStyle w:val="Heading1"/>
      </w:pPr>
      <w:r>
        <w:t xml:space="preserve">Berechnungsmethoden pro Land</w:t>
      </w:r>
    </w:p>
    <w:p>
      <w:r>
        <w:t xml:space="preserve">Die Finance-Webseite zeigt pro Land im Aufklapper mehrere Varianten. Diese Varianten sind keine widerspruechlichen Ergebnisse, sondern Kontrollsichten auf dieselben Daten. Sie zeigen, ob der Wert aus Positionen, Belegkopfwerten, Belegwaehrung, Hauswaehrung oder CHF-Budgetkursen stammt.</w:t>
      </w:r>
    </w:p>
    <w:p>
      <w:r>
        <w:t xml:space="preserve">Fuer den Standardabgleich gilt weiterhin: Hauswaehrung, Nettofakturawert, Buchungsdatum und Berechnung pro Belegposition. Die Varianten dienen dazu, Abweichungen wie doppelt gezaehlte Belegkopfwerte, falsche Waehrung oder fehlendes Mapping sichtbar zu machen.</w:t>
      </w:r>
    </w:p>
    <w:tbl>
      <w:tblPr>
        <w:tblW w:w="0" w:type="auto"/>
        <w:tblBorders>
          <w:top w:val="single" w:sz="4"/>
          <w:left w:val="single" w:sz="4"/>
          <w:bottom w:val="single" w:sz="4"/>
          <w:right w:val="single" w:sz="4"/>
          <w:insideH w:val="single" w:sz="4"/>
          <w:insideV w:val="single" w:sz="4"/>
        </w:tblBorders>
      </w:tblPr>
      <w:tr>
        <w:tc>
          <w:tcPr>
            <w:tcW w:w="0" w:type="auto"/>
          </w:tcPr>
          <w:p>
            <w:r>
              <w:rPr>
                <w:b/>
              </w:rPr>
              <w:t xml:space="preserve">Variante aus FinanceProbe</w:t>
            </w:r>
          </w:p>
        </w:tc>
        <w:tc>
          <w:tcPr>
            <w:tcW w:w="0" w:type="auto"/>
          </w:tcPr>
          <w:p>
            <w:r>
              <w:rPr>
                <w:b/>
              </w:rPr>
              <w:t xml:space="preserve">Bedeutung</w:t>
            </w:r>
          </w:p>
        </w:tc>
        <w:tc>
          <w:tcPr>
            <w:tcW w:w="0" w:type="auto"/>
          </w:tcPr>
          <w:p>
            <w:r>
              <w:rPr>
                <w:b/>
              </w:rPr>
              <w:t xml:space="preserve">Unterschied / Verwendung</w:t>
            </w:r>
          </w:p>
        </w:tc>
      </w:tr>
      <w:tr>
        <w:tc>
          <w:tcPr>
            <w:tcW w:w="0" w:type="auto"/>
          </w:tcPr>
          <w:p>
            <w:r>
              <w:t xml:space="preserve">Positions-Netto (Sales Price/Value)</w:t>
            </w:r>
          </w:p>
        </w:tc>
        <w:tc>
          <w:tcPr>
            <w:tcW w:w="0" w:type="auto"/>
          </w:tcPr>
          <w:p>
            <w:r>
              <w:t xml:space="preserve">Summe der positionsnahen Nettoverkaufswerte aus der Quelle bzw. aus dem Mapping. Bei England Sage ist dies Sales Price/Value mal Quantity.</w:t>
            </w:r>
          </w:p>
        </w:tc>
        <w:tc>
          <w:tcPr>
            <w:tcW w:w="0" w:type="auto"/>
          </w:tcPr>
          <w:p>
            <w:r>
              <w:t xml:space="preserve">Keine Belegkopf-Deduplizierung. Richtig, wenn die Quelle echte Positionswerte liefert oder das Mapping den Positionswert berechnet.</w:t>
            </w:r>
          </w:p>
        </w:tc>
      </w:tr>
      <w:tr>
        <w:tc>
          <w:tcPr>
            <w:tcW w:w="0" w:type="auto"/>
          </w:tcPr>
          <w:p>
            <w:r>
              <w:t xml:space="preserve">DocTotalFC - VatSumFC</w:t>
            </w:r>
          </w:p>
        </w:tc>
        <w:tc>
          <w:tcPr>
            <w:tcW w:w="0" w:type="auto"/>
          </w:tcPr>
          <w:p>
            <w:r>
              <w:t xml:space="preserve">Nettofakturawert in Belegwaehrung: Belegtotal minus Steuer in der Dokumentwaehrung.</w:t>
            </w:r>
          </w:p>
        </w:tc>
        <w:tc>
          <w:tcPr>
            <w:tcW w:w="0" w:type="auto"/>
          </w:tcPr>
          <w:p>
            <w:r>
              <w:t xml:space="preserve">Kontrollsicht fuer Original-/Belegwaehrung. Nicht automatisch fuehrend, weil Finance fuer den Standardabgleich Hauswaehrung verlangt.</w:t>
            </w:r>
          </w:p>
        </w:tc>
      </w:tr>
      <w:tr>
        <w:tc>
          <w:tcPr>
            <w:tcW w:w="0" w:type="auto"/>
          </w:tcPr>
          <w:p>
            <w:r>
              <w:t xml:space="preserve">Nettofakturawert Hauswaehrung pro Position</w:t>
            </w:r>
          </w:p>
        </w:tc>
        <w:tc>
          <w:tcPr>
            <w:tcW w:w="0" w:type="auto"/>
          </w:tcPr>
          <w:p>
            <w:r>
              <w:t xml:space="preserve">Nettofakturawert in Hauswaehrung, positionsweise summiert.</w:t>
            </w:r>
          </w:p>
        </w:tc>
        <w:tc>
          <w:tcPr>
            <w:tcW w:w="0" w:type="auto"/>
          </w:tcPr>
          <w:p>
            <w:r>
              <w:t xml:space="preserve">Fachliches Zielbild fuer Net Sales, wenn die Werte wirklich positionsbezogen vorliegen. Kann ueberzaehlen, wenn Belegkopfwerte pro Position wiederholt sind.</w:t>
            </w:r>
          </w:p>
        </w:tc>
      </w:tr>
      <w:tr>
        <w:tc>
          <w:tcPr>
            <w:tcW w:w="0" w:type="auto"/>
          </w:tcPr>
          <w:p>
            <w:r>
              <w:t xml:space="preserve">Nettofakturawert Hauswaehrung pro Beleg dedupliziert</w:t>
            </w:r>
          </w:p>
        </w:tc>
        <w:tc>
          <w:tcPr>
            <w:tcW w:w="0" w:type="auto"/>
          </w:tcPr>
          <w:p>
            <w:r>
              <w:t xml:space="preserve">Nettofakturawert in Hauswaehrung, je Beleg nur einmal gezaehlt.</w:t>
            </w:r>
          </w:p>
        </w:tc>
        <w:tc>
          <w:tcPr>
            <w:tcW w:w="0" w:type="auto"/>
          </w:tcPr>
          <w:p>
            <w:r>
              <w:t xml:space="preserve">Kontrollvariante gegen doppelte Belegkopfwerte. Wichtig bei B1-Daten, weil DocTotal/VatSum auf jeder Position wiederholt sein koennen.</w:t>
            </w:r>
          </w:p>
        </w:tc>
      </w:tr>
      <w:tr>
        <w:tc>
          <w:tcPr>
            <w:tcW w:w="0" w:type="auto"/>
          </w:tcPr>
          <w:p>
            <w:r>
              <w:t xml:space="preserve">Nettofakturawert Hauswaehrung -&gt; CHF Budget 2025</w:t>
            </w:r>
          </w:p>
        </w:tc>
        <w:tc>
          <w:tcPr>
            <w:tcW w:w="0" w:type="auto"/>
          </w:tcPr>
          <w:p>
            <w:r>
              <w:t xml:space="preserve">Separate CHF-Sicht mit Budgetkursen 2025.</w:t>
            </w:r>
          </w:p>
        </w:tc>
        <w:tc>
          <w:tcPr>
            <w:tcW w:w="0" w:type="auto"/>
          </w:tcPr>
          <w:p>
            <w:r>
              <w:t xml:space="preserve">Reporting-/Kontrollsicht. Nicht die Standard-Ist-Basis je Land; Standard bleibt Hauswaehrung.</w:t>
            </w:r>
          </w:p>
        </w:tc>
      </w:tr>
    </w:tbl>
    <w:p>
      <w:pPr>
        <w:pStyle w:val="Heading1"/>
      </w:pPr>
      <w:r>
        <w:t xml:space="preserve">Aktuelle Methode je Land</w:t>
      </w:r>
    </w:p>
    <w:tbl>
      <w:tblPr>
        <w:tblW w:w="0" w:type="auto"/>
        <w:tblBorders>
          <w:top w:val="single" w:sz="4"/>
          <w:left w:val="single" w:sz="4"/>
          <w:bottom w:val="single" w:sz="4"/>
          <w:right w:val="single" w:sz="4"/>
          <w:insideH w:val="single" w:sz="4"/>
          <w:insideV w:val="single" w:sz="4"/>
        </w:tblBorders>
      </w:tblPr>
      <w:tr>
        <w:tc>
          <w:tcPr>
            <w:tcW w:w="0" w:type="auto"/>
          </w:tcPr>
          <w:p>
            <w:r>
              <w:rPr>
                <w:b/>
              </w:rPr>
              <w:t xml:space="preserve">Land</w:t>
            </w:r>
          </w:p>
        </w:tc>
        <w:tc>
          <w:tcPr>
            <w:tcW w:w="0" w:type="auto"/>
          </w:tcPr>
          <w:p>
            <w:r>
              <w:rPr>
                <w:b/>
              </w:rPr>
              <w:t xml:space="preserve">Aktuelle Berichtsbasis / Methode</w:t>
            </w:r>
          </w:p>
        </w:tc>
        <w:tc>
          <w:tcPr>
            <w:tcW w:w="0" w:type="auto"/>
          </w:tcPr>
          <w:p>
            <w:r>
              <w:rPr>
                <w:b/>
              </w:rPr>
              <w:t xml:space="preserve">Noch zu klaeren</w:t>
            </w:r>
          </w:p>
        </w:tc>
      </w:tr>
      <w:tr>
        <w:tc>
          <w:tcPr>
            <w:tcW w:w="0" w:type="auto"/>
          </w:tcPr>
          <w:p>
            <w:r>
              <w:t xml:space="preserve">FR</w:t>
            </w:r>
          </w:p>
        </w:tc>
        <w:tc>
          <w:tcPr>
            <w:tcW w:w="0" w:type="auto"/>
          </w:tcPr>
          <w:p>
            <w:r>
              <w:t xml:space="preserve">Positions-Netto / Sales Price Value in EUR passt gegen Rhino praktisch exakt.</w:t>
            </w:r>
          </w:p>
        </w:tc>
        <w:tc>
          <w:tcPr>
            <w:tcW w:w="0" w:type="auto"/>
          </w:tcPr>
          <w:p>
            <w:r>
              <w:t xml:space="preserve">Fachlich freigabefaehig, nur Standard-Monitoring.</w:t>
            </w:r>
          </w:p>
        </w:tc>
      </w:tr>
      <w:tr>
        <w:tc>
          <w:tcPr>
            <w:tcW w:w="0" w:type="auto"/>
          </w:tcPr>
          <w:p>
            <w:r>
              <w:t xml:space="preserve">IN</w:t>
            </w:r>
          </w:p>
        </w:tc>
        <w:tc>
          <w:tcPr>
            <w:tcW w:w="0" w:type="auto"/>
          </w:tcPr>
          <w:p>
            <w:r>
              <w:t xml:space="preserve">Hauswaehrung INR ist fuehrend; die gewaehlte Variante passt rechnerisch gegen Rhino.</w:t>
            </w:r>
          </w:p>
        </w:tc>
        <w:tc>
          <w:tcPr>
            <w:tcW w:w="0" w:type="auto"/>
          </w:tcPr>
          <w:p>
            <w:r>
              <w:t xml:space="preserve">Export-/Authentifizierung stabilisieren; keine gemischte Waehrung als finale Aussage verwenden.</w:t>
            </w:r>
          </w:p>
        </w:tc>
      </w:tr>
      <w:tr>
        <w:tc>
          <w:tcPr>
            <w:tcW w:w="0" w:type="auto"/>
          </w:tcPr>
          <w:p>
            <w:r>
              <w:t xml:space="preserve">US</w:t>
            </w:r>
          </w:p>
        </w:tc>
        <w:tc>
          <w:tcPr>
            <w:tcW w:w="0" w:type="auto"/>
          </w:tcPr>
          <w:p>
            <w:r>
              <w:t xml:space="preserve">USD-Zentralimport; gewaehlte Variante passt rechnerisch gegen Rhino.</w:t>
            </w:r>
          </w:p>
        </w:tc>
        <w:tc>
          <w:tcPr>
            <w:tcW w:w="0" w:type="auto"/>
          </w:tcPr>
          <w:p>
            <w:r>
              <w:t xml:space="preserve">Freigabefaehig, USD-Normalisierung beibehalten.</w:t>
            </w:r>
          </w:p>
        </w:tc>
      </w:tr>
      <w:tr>
        <w:tc>
          <w:tcPr>
            <w:tcW w:w="0" w:type="auto"/>
          </w:tcPr>
          <w:p>
            <w:r>
              <w:t xml:space="preserve">AT / CH</w:t>
            </w:r>
          </w:p>
        </w:tc>
        <w:tc>
          <w:tcPr>
            <w:tcW w:w="0" w:type="auto"/>
          </w:tcPr>
          <w:p>
            <w:r>
              <w:t xml:space="preserve">ZSCHWEIZ/SAP: Hauswaehrung und Trennung ueber Reporting-Land/Buchungskreis.</w:t>
            </w:r>
          </w:p>
        </w:tc>
        <w:tc>
          <w:tcPr>
            <w:tcW w:w="0" w:type="auto"/>
          </w:tcPr>
          <w:p>
            <w:r>
              <w:t xml:space="preserve">Sollzuordnung CH/AT, Perioden und Gutschriften final bestaetigen.</w:t>
            </w:r>
          </w:p>
        </w:tc>
      </w:tr>
      <w:tr>
        <w:tc>
          <w:tcPr>
            <w:tcW w:w="0" w:type="auto"/>
          </w:tcPr>
          <w:p>
            <w:r>
              <w:t xml:space="preserve">ES</w:t>
            </w:r>
          </w:p>
        </w:tc>
        <w:tc>
          <w:tcPr>
            <w:tcW w:w="0" w:type="auto"/>
          </w:tcPr>
          <w:p>
            <w:r>
              <w:t xml:space="preserve">Spain CSV nutzt SalesPriceValue aus ImporteNeto in EUR.</w:t>
            </w:r>
          </w:p>
        </w:tc>
        <w:tc>
          <w:tcPr>
            <w:tcW w:w="0" w:type="auto"/>
          </w:tcPr>
          <w:p>
            <w:r>
              <w:t xml:space="preserve">Serien REG/LAT/PRO/REC, Gutschriften und Datumsbasis klaeren.</w:t>
            </w:r>
          </w:p>
        </w:tc>
      </w:tr>
      <w:tr>
        <w:tc>
          <w:tcPr>
            <w:tcW w:w="0" w:type="auto"/>
          </w:tcPr>
          <w:p>
            <w:r>
              <w:t xml:space="preserve">UK / EN</w:t>
            </w:r>
          </w:p>
        </w:tc>
        <w:tc>
          <w:tcPr>
            <w:tcW w:w="0" w:type="auto"/>
          </w:tcPr>
          <w:p>
            <w:r>
              <w:t xml:space="preserve">England Sage nutzt GBP; SalesPriceValue wird als Stueckpreis mal Quantity zum Positionswert berechnet. Der Ordnername UK_B1 ist nur eine SharePoint-Bezeichnung, kein SAP-B1-System.</w:t>
            </w:r>
          </w:p>
        </w:tc>
        <w:tc>
          <w:tcPr>
            <w:tcW w:w="0" w:type="auto"/>
          </w:tcPr>
          <w:p>
            <w:r>
              <w:t xml:space="preserve">Restdifferenz, Jahresvollstaendigkeit, Discounts/Freight/Charges und 2nd-/3rd-party klaeren.</w:t>
            </w:r>
          </w:p>
        </w:tc>
      </w:tr>
      <w:tr>
        <w:tc>
          <w:tcPr>
            <w:tcW w:w="0" w:type="auto"/>
          </w:tcPr>
          <w:p>
            <w:r>
              <w:t xml:space="preserve">DE</w:t>
            </w:r>
          </w:p>
        </w:tc>
        <w:tc>
          <w:tcPr>
            <w:tcW w:w="0" w:type="auto"/>
          </w:tcPr>
          <w:p>
            <w:r>
              <w:t xml:space="preserve">Noch keine finale Methode im Bericht, weil nur ein Sample vorliegt. Kandidat: NettoPreisGesamtX als SalesPriceValue in EUR.</w:t>
            </w:r>
          </w:p>
        </w:tc>
        <w:tc>
          <w:tcPr>
            <w:tcW w:w="0" w:type="auto"/>
          </w:tcPr>
          <w:p>
            <w:r>
              <w:t xml:space="preserve">Finalen Jahresfile 2025 beschaffen und danach Methode bestaetigen.</w:t>
            </w:r>
          </w:p>
        </w:tc>
      </w:tr>
      <w:tr>
        <w:tc>
          <w:tcPr>
            <w:tcW w:w="0" w:type="auto"/>
          </w:tcPr>
          <w:p>
            <w:r>
              <w:t xml:space="preserve">IT</w:t>
            </w:r>
          </w:p>
        </w:tc>
        <w:tc>
          <w:tcPr>
            <w:tcW w:w="0" w:type="auto"/>
          </w:tcPr>
          <w:p>
            <w:r>
              <w:t xml:space="preserve">Noch nicht final: Varianten muessen gegeneinander geprueft werden, insbesondere Position vs. deduplizierter Beleg und IC-Abzug.</w:t>
            </w:r>
          </w:p>
        </w:tc>
        <w:tc>
          <w:tcPr>
            <w:tcW w:w="0" w:type="auto"/>
          </w:tcPr>
          <w:p>
            <w:r>
              <w:t xml:space="preserve">Prioritaet 1: Berechnungsart, Deduplizierung, Gutschriften/Storno und lokale IC-Kunden klaeren.</w:t>
            </w:r>
          </w:p>
        </w:tc>
      </w:tr>
    </w:tbl>
    <w:p>
      <w:pPr>
        <w:pStyle w:val="Heading1"/>
      </w:pPr>
      <w:r>
        <w:t xml:space="preserve">Empfohlene naechste Schritte</w:t>
      </w:r>
    </w:p>
    <w:p>
      <w:r>
        <w:t xml:space="preserve">1. IT mit Finance/Rhino als erstes klaeren: richtige Summenlogik, Beleg vs. Position und Intercompany.</w:t>
      </w:r>
    </w:p>
    <w:p>
      <w:r>
        <w:t xml:space="preserve">2. DE finalen Jahresfile beschaffen; aktuelles Sample nicht fuer Reporting verwenden.</w:t>
      </w:r>
    </w:p>
    <w:p>
      <w:r>
        <w:t xml:space="preserve">3. UK/EN auf Vollstaendigkeit des Jahres, Discounts/Freight/Charges und 2nd-/3rd-party pruefen.</w:t>
      </w:r>
    </w:p>
    <w:p>
      <w:r>
        <w:t xml:space="preserve">4. CH-Sollwert und Trennung CH/AT in der Referenzlogik festlegen.</w:t>
      </w:r>
    </w:p>
    <w:p>
      <w:r>
        <w:t xml:space="preserve">5. AT und ES nach Detailcheck voraussichtlich als kontrollierte kleine Differenzen abschliessen.</w:t>
      </w:r>
    </w:p>
    <w:p>
      <w:pPr>
        <w:pStyle w:val="Heading1"/>
      </w:pPr>
      <w:r>
        <w:t xml:space="preserve">IT / Intercompany Diagnose</w:t>
      </w:r>
    </w:p>
    <w:p>
      <w:r>
        <w:t xml:space="preserve">Bei Italien erklaert Intercompany/2nd-party einen grossen Teil der Abweichung. Mit den aktuellen Markern TRAFAG, MAGNETIC SENSE, MAGNETS SENSE, GESELLSCHAFT FUER SENSORIK und GESELLSCHAFT FUR SENSORIK reduziert sich IT von 14.704.336,29 EUR um 4.397.746,90 EUR auf 10.306.589,39 EUR. Gegen Rhino/check.xlsx Soll 7.669.840,00 EUR bleibt eine Restabweichung nach IC von +2.636.749,39 EUR.</w:t>
      </w:r>
    </w:p>
    <w:p>
      <w:r>
        <w:t xml:space="preserve">Bewertung: Intercompany/2nd-party erklaert einen grossen Teil, aber nicht alles. Die Restabweichung muss ueber Summenlogik, Beleg/Position-Deduplizierung, Gutschriften/Storno und weitere lokale IC-Kunden oder Schreibweisen geprueft werden.</w:t>
      </w:r>
    </w:p>
    <w:sectPr>
      <w:pgSz w:w="11906" w:h="16838"/>
      <w:pgMar w:top="1440" w:right="1440" w:bottom="1440" w:left="1440" w:header="708" w:footer="708" w:gutter="0"/>
    </w:sectPr>
  </w:body>
</w:document>
</file>

<file path=word/styles.xml><?xml version="1.0" encoding="utf-8"?>
<w:styles xmlns:w="http://schemas.openxmlformats.org/wordprocessingml/2006/main">
  <w:style w:type="paragraph" w:styleId="Normal">
    <w:name w:val="Normal"/>
  </w:style>
  <w:style w:type="paragraph" w:styleId="Heading1">
    <w:name w:val="heading 1"/>
    <w:basedOn w:val="Normal"/>
    <w:next w:val="Normal"/>
    <w:qFormat/>
    <w:rPr>
      <w:b/>
      <w:sz w:val="32"/>
    </w:rPr>
  </w:style>
</w:styles>
</file>