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Document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pic="http://schemas.openxmlformats.org/drawingml/2006/picture">
  <w:body>
    <w:p>
      <w:pPr>
        <w:pStyle w:val="Title"/>
      </w:pPr>
      <w:r>
        <w:t xml:space="preserve">Finance Cockpit - ausführliche Anwenderanleitung</w:t>
      </w:r>
    </w:p>
    <w:p>
      <w:pPr>
        <w:pStyle w:val="Subtitle"/>
      </w:pPr>
      <w:r>
        <w:t xml:space="preserve">Ausführliche Schulungsunterlage für Finance-Anwender</w:t>
      </w:r>
    </w:p>
    <w:p>
      <w:r>
        <w:t xml:space="preserve">Stand: 21.05.2026</w:t>
      </w:r>
    </w:p>
    <w:p>
      <w:r>
        <w:t xml:space="preserve">Dieses Dokument ist bewusst umfangreich aufgebaut. Es kann als Schulungsunterlage, Nachschlagewerk und Checkliste für produktive Nutzung verwendet werden.</w:t>
      </w:r>
    </w:p>
    <w:p>
      <w:r>
        <w:drawing>
          <wp:inline distT="0" distB="0" distL="0" distR="0">
            <wp:extent cx="5334000" cy="2667000"/>
            <wp:docPr id="1" name="Cockpit preview"/>
            <a:graphic>
              <a:graphicData uri="http://schemas.openxmlformats.org/drawingml/2006/picture">
                <pic:pic>
                  <pic:nvPicPr>
                    <pic:cNvPr id="0" name="preview.png"/>
                    <pic:cNvPicPr/>
                  </pic:nvPicPr>
                  <pic:blipFill>
                    <a:blip r:embed="rIdPreview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Heading1"/>
      </w:pPr>
      <w:r>
        <w:t xml:space="preserve">Inhaltsübersicht</w:t>
      </w:r>
    </w:p>
    <w:p>
      <w:r>
        <w:t xml:space="preserve">1. Zweck und Zielgruppe</w:t>
      </w:r>
    </w:p>
    <w:p>
      <w:r>
        <w:t xml:space="preserve">2. Gesamtprozess Finance Cockpit</w:t>
      </w:r>
    </w:p>
    <w:p>
      <w:r>
        <w:t xml:space="preserve">3. Login, Navigation und Rollen</w:t>
      </w:r>
    </w:p>
    <w:p>
      <w:r>
        <w:t xml:space="preserve">4. Manuelle Importe: Grundprinzip</w:t>
      </w:r>
    </w:p>
    <w:p>
      <w:r>
        <w:t xml:space="preserve">5. Export Dashboard richtig bedienen</w:t>
      </w:r>
    </w:p>
    <w:p>
      <w:r>
        <w:t xml:space="preserve">6. Zentrale Excel: Blätter und Bedeutung</w:t>
      </w:r>
    </w:p>
    <w:p>
      <w:r>
        <w:t xml:space="preserve">7. Finance Summary interpretieren</w:t>
      </w:r>
    </w:p>
    <w:p>
      <w:r>
        <w:t xml:space="preserve">8. Finance Details: Nachvollziehbarkeit der Summe</w:t>
      </w:r>
    </w:p>
    <w:p>
      <w:r>
        <w:t xml:space="preserve">9. Soll/Ist Vergleich</w:t>
      </w:r>
    </w:p>
    <w:p>
      <w:r>
        <w:t xml:space="preserve">10. Landesspezifische Regeln</w:t>
      </w:r>
    </w:p>
    <w:p>
      <w:r>
        <w:t xml:space="preserve">11. SharePoint, Locks und typische Fehler</w:t>
      </w:r>
    </w:p>
    <w:p>
      <w:r>
        <w:t xml:space="preserve">12. Freigabe-Checkliste</w:t>
      </w:r>
    </w:p>
    <w:p>
      <w:r>
        <w:br w:type="page"/>
      </w:r>
    </w:p>
    <w:p>
      <w:pPr>
        <w:pStyle w:val="Heading1"/>
      </w:pPr>
      <w:r>
        <w:t xml:space="preserve">1. Zweck und Zielgruppe</w:t>
      </w:r>
    </w:p>
    <w:p>
      <w:r>
        <w:t xml:space="preserve">Diese Anleitung richtet sich an Finance-Anwender, Finance Keyuser und Personen, die zentrale Sales-/Finance-Exporte prüfen.</w:t>
      </w:r>
    </w:p>
    <w:p>
      <w:r>
        <w:t xml:space="preserve">Das Finance Cockpit zeigt nicht nur Rohdaten, sondern eine verbindliche Finance-Sicht für den Soll/Ist-Abgleich. Massgeblich sind Finance Summary, Finance Details und der Soll/Ist Vergleich.</w:t>
      </w:r>
    </w:p>
    <w:p>
      <w:r>
        <w:t xml:space="preserve">Die Anleitung beschreibt den korrekten Ablauf von Import über Standortexport bis zur zentralen Excel.</w:t>
      </w:r>
    </w:p>
    <w:tbl>
      <w:tblPr>
        <w:tblStyle w:val="TableGrid"/>
        <w:tblW w:w="0" w:type="auto"/>
      </w:tblPr>
      <w:tr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Rolle</w:t>
            </w:r>
          </w:p>
        </w:tc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Aufgabe</w:t>
            </w:r>
          </w:p>
        </w:tc>
      </w:tr>
      <w:tr>
        <w:tc>
          <w:tcPr>
            <w:tcW w:w="3000" w:type="dxa"/>
          </w:tcPr>
          <w:p>
            <w:r>
              <w:t xml:space="preserve">Finance Keyuser</w:t>
            </w:r>
          </w:p>
        </w:tc>
        <w:tc>
          <w:tcPr>
            <w:tcW w:w="3000" w:type="dxa"/>
          </w:tcPr>
          <w:p>
            <w:r>
              <w:t xml:space="preserve">Importe bereitstellen, Export auslösen, Summen prüfen</w:t>
            </w:r>
          </w:p>
        </w:tc>
      </w:tr>
      <w:tr>
        <w:tc>
          <w:tcPr>
            <w:tcW w:w="3000" w:type="dxa"/>
          </w:tcPr>
          <w:p>
            <w:r>
              <w:t xml:space="preserve">CFO/Finance Leitung</w:t>
            </w:r>
          </w:p>
        </w:tc>
        <w:tc>
          <w:tcPr>
            <w:tcW w:w="3000" w:type="dxa"/>
          </w:tcPr>
          <w:p>
            <w:r>
              <w:t xml:space="preserve">Soll/Ist-Freigabe und fachliche Entscheidungen</w:t>
            </w:r>
          </w:p>
        </w:tc>
      </w:tr>
      <w:tr>
        <w:tc>
          <w:tcPr>
            <w:tcW w:w="3000" w:type="dxa"/>
          </w:tcPr>
          <w:p>
            <w:r>
              <w:t xml:space="preserve">Admin</w:t>
            </w:r>
          </w:p>
        </w:tc>
        <w:tc>
          <w:tcPr>
            <w:tcW w:w="3000" w:type="dxa"/>
          </w:tcPr>
          <w:p>
            <w:r>
              <w:t xml:space="preserve">Standorte, Mappings, Regeln und SharePoint konfigurieren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Gesamtprozess Finance Cockpit</w:t>
      </w:r>
    </w:p>
    <w:p>
      <w:r>
        <w:t xml:space="preserve">Der Finance-Prozess ist sequenziell. Ein Standortexport aktualisiert die Datenbasis, erzeugt aber nicht automatisch die zentrale Excel.</w:t>
      </w:r>
    </w:p>
    <w:p>
      <w:r>
        <w:t xml:space="preserve">Nach jedem relevanten Standortexport muss die zentrale Datei neu erzeugt werden, damit Finance Summary und Finance Details aktuell sind.</w:t>
      </w:r>
    </w:p>
    <w:p>
      <w:r>
        <w:t xml:space="preserve">Die Prozessgrafik zeigt die empfohlene Bedienreihenfolge für Keyuser.</w:t>
      </w:r>
    </w:p>
    <w:tbl>
      <w:tblPr>
        <w:tblStyle w:val="TableGrid"/>
        <w:tblW w:w="0" w:type="auto"/>
      </w:tblPr>
      <w:tr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1</w:t>
            </w:r>
          </w:p>
        </w:tc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Importdateien bereitstellen</w:t>
            </w:r>
          </w:p>
        </w:tc>
      </w:tr>
      <w:tr>
        <w:tc>
          <w:tcPr>
            <w:tcW w:w="3000" w:type="dxa"/>
          </w:tcPr>
          <w:p>
            <w:r>
              <w:t xml:space="preserve">2</w:t>
            </w:r>
          </w:p>
        </w:tc>
        <w:tc>
          <w:tcPr>
            <w:tcW w:w="3000" w:type="dxa"/>
          </w:tcPr>
          <w:p>
            <w:r>
              <w:t xml:space="preserve">Standort exportieren</w:t>
            </w:r>
          </w:p>
        </w:tc>
      </w:tr>
      <w:tr>
        <w:tc>
          <w:tcPr>
            <w:tcW w:w="3000" w:type="dxa"/>
          </w:tcPr>
          <w:p>
            <w:r>
              <w:t xml:space="preserve">3</w:t>
            </w:r>
          </w:p>
        </w:tc>
        <w:tc>
          <w:tcPr>
            <w:tcW w:w="3000" w:type="dxa"/>
          </w:tcPr>
          <w:p>
            <w:r>
              <w:t xml:space="preserve">Zentrale Datei neu erzeugen</w:t>
            </w:r>
          </w:p>
        </w:tc>
      </w:tr>
      <w:tr>
        <w:tc>
          <w:tcPr>
            <w:tcW w:w="3000" w:type="dxa"/>
          </w:tcPr>
          <w:p>
            <w:r>
              <w:t xml:space="preserve">4</w:t>
            </w:r>
          </w:p>
        </w:tc>
        <w:tc>
          <w:tcPr>
            <w:tcW w:w="3000" w:type="dxa"/>
          </w:tcPr>
          <w:p>
            <w:r>
              <w:t xml:space="preserve">Finance Summary prüfen</w:t>
            </w:r>
          </w:p>
        </w:tc>
      </w:tr>
      <w:tr>
        <w:tc>
          <w:tcPr>
            <w:tcW w:w="3000" w:type="dxa"/>
          </w:tcPr>
          <w:p>
            <w:r>
              <w:t xml:space="preserve">5</w:t>
            </w:r>
          </w:p>
        </w:tc>
        <w:tc>
          <w:tcPr>
            <w:tcW w:w="3000" w:type="dxa"/>
          </w:tcPr>
          <w:p>
            <w:r>
              <w:t xml:space="preserve">Soll/Ist Vergleich freigeben</w:t>
            </w:r>
          </w:p>
        </w:tc>
      </w:tr>
    </w:tbl>
    <w:p>
      <w:r>
        <w:drawing>
          <wp:inline distT="0" distB="0" distL="0" distR="0">
            <wp:extent cx="4762500" cy="2381250"/>
            <wp:docPr id="1" name="Cockpit preview"/>
            <a:graphic>
              <a:graphicData uri="http://schemas.openxmlformats.org/drawingml/2006/picture">
                <pic:pic>
                  <pic:nvPicPr>
                    <pic:cNvPr id="0" name="preview.png"/>
                    <pic:cNvPicPr/>
                  </pic:nvPicPr>
                  <pic:blipFill>
                    <a:blip r:embed="rIdPreview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Heading1"/>
      </w:pPr>
      <w:r>
        <w:t xml:space="preserve">3. Login, Navigation und Rollen</w:t>
      </w:r>
    </w:p>
    <w:p>
      <w:r>
        <w:t xml:space="preserve">Das Finance Cockpit ist separat geschuetzt. Der Finance Login ist unabhaengig von HR KPI und bleibt auch dann aktiv, wenn AD/Rollen temporaer deaktiviert sind.</w:t>
      </w:r>
    </w:p>
    <w:p>
      <w:r>
        <w:t xml:space="preserve">In der Navigation befinden sich Export Dashboard, Management Analyse, Soll/Ist Vergleich und Manuelle Importe unter Finance Cockpit.</w:t>
      </w:r>
    </w:p>
    <w:p>
      <w:r>
        <w:t xml:space="preserve">Admin-Funktionen wie Standorte, Transformationen, Finance Regeln und Settings dürfen nur von berechtigten Personen geändert werden.</w:t>
      </w:r>
    </w:p>
    <w:tbl>
      <w:tblPr>
        <w:tblStyle w:val="TableGrid"/>
        <w:tblW w:w="0" w:type="auto"/>
      </w:tblPr>
      <w:tr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Bereich</w:t>
            </w:r>
          </w:p>
        </w:tc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Zweck</w:t>
            </w:r>
          </w:p>
        </w:tc>
      </w:tr>
      <w:tr>
        <w:tc>
          <w:tcPr>
            <w:tcW w:w="3000" w:type="dxa"/>
          </w:tcPr>
          <w:p>
            <w:r>
              <w:t xml:space="preserve">Export Dashboard</w:t>
            </w:r>
          </w:p>
        </w:tc>
        <w:tc>
          <w:tcPr>
            <w:tcW w:w="3000" w:type="dxa"/>
          </w:tcPr>
          <w:p>
            <w:r>
              <w:t xml:space="preserve">Standortexporte und zentrale Datei starten</w:t>
            </w:r>
          </w:p>
        </w:tc>
      </w:tr>
      <w:tr>
        <w:tc>
          <w:tcPr>
            <w:tcW w:w="3000" w:type="dxa"/>
          </w:tcPr>
          <w:p>
            <w:r>
              <w:t xml:space="preserve">Management Analyse</w:t>
            </w:r>
          </w:p>
        </w:tc>
        <w:tc>
          <w:tcPr>
            <w:tcW w:w="3000" w:type="dxa"/>
          </w:tcPr>
          <w:p>
            <w:r>
              <w:t xml:space="preserve">Finance Summary und Rohdatenanalyse</w:t>
            </w:r>
          </w:p>
        </w:tc>
      </w:tr>
      <w:tr>
        <w:tc>
          <w:tcPr>
            <w:tcW w:w="3000" w:type="dxa"/>
          </w:tcPr>
          <w:p>
            <w:r>
              <w:t xml:space="preserve">Soll/Ist Vergleich</w:t>
            </w:r>
          </w:p>
        </w:tc>
        <w:tc>
          <w:tcPr>
            <w:tcW w:w="3000" w:type="dxa"/>
          </w:tcPr>
          <w:p>
            <w:r>
              <w:t xml:space="preserve">verbindliche Finance-Sicht gegen Referenz</w:t>
            </w:r>
          </w:p>
        </w:tc>
      </w:tr>
      <w:tr>
        <w:tc>
          <w:tcPr>
            <w:tcW w:w="3000" w:type="dxa"/>
          </w:tcPr>
          <w:p>
            <w:r>
              <w:t xml:space="preserve">Manuelle Importe</w:t>
            </w:r>
          </w:p>
        </w:tc>
        <w:tc>
          <w:tcPr>
            <w:tcW w:w="3000" w:type="dxa"/>
          </w:tcPr>
          <w:p>
            <w:r>
              <w:t xml:space="preserve">DE/UK/ES-Dateien pflegen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4. Manuelle Importe: Grundprinzip</w:t>
      </w:r>
    </w:p>
    <w:p>
      <w:r>
        <w:t xml:space="preserve">Manuelle Importe ersetzen pro Standort den aktuellen Datenstand in CentralSalesRecords. Deshalb muss klar sein, ob ein Land Vollfiles oder Delta-Dateien liefert.</w:t>
      </w:r>
    </w:p>
    <w:p>
      <w:r>
        <w:t xml:space="preserve">UK ist für Delta-Lieferungen vorbereitet. Spanien und Deutschland müssen immer vollständige Dateien liefern.</w:t>
      </w:r>
    </w:p>
    <w:p>
      <w:r>
        <w:t xml:space="preserve">Nach dem Upload oder der Pfadpflege muss der Standort exportiert werden. Erst danach stehen die Daten für zentrale Excel und Finance Summary bereit.</w:t>
      </w:r>
    </w:p>
    <w:tbl>
      <w:tblPr>
        <w:tblStyle w:val="TableGrid"/>
        <w:tblW w:w="0" w:type="auto"/>
      </w:tblPr>
      <w:tr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Land</w:t>
            </w:r>
          </w:p>
        </w:tc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Lieferlogik</w:t>
            </w:r>
          </w:p>
        </w:tc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Wichtig</w:t>
            </w:r>
          </w:p>
        </w:tc>
      </w:tr>
      <w:tr>
        <w:tc>
          <w:tcPr>
            <w:tcW w:w="3000" w:type="dxa"/>
          </w:tcPr>
          <w:p>
            <w:r>
              <w:t xml:space="preserve">UK / England</w:t>
            </w:r>
          </w:p>
        </w:tc>
        <w:tc>
          <w:tcPr>
            <w:tcW w:w="3000" w:type="dxa"/>
          </w:tcPr>
          <w:p>
            <w:r>
              <w:t xml:space="preserve">Jahresdatei plus Deltas</w:t>
            </w:r>
          </w:p>
        </w:tc>
        <w:tc>
          <w:tcPr>
            <w:tcW w:w="3000" w:type="dxa"/>
          </w:tcPr>
          <w:p>
            <w:r>
              <w:t xml:space="preserve">Delta-Dateien können zusammen mit Basisdatei gelesen werden</w:t>
            </w:r>
          </w:p>
        </w:tc>
      </w:tr>
      <w:tr>
        <w:tc>
          <w:tcPr>
            <w:tcW w:w="3000" w:type="dxa"/>
          </w:tcPr>
          <w:p>
            <w:r>
              <w:t xml:space="preserve">Spanien</w:t>
            </w:r>
          </w:p>
        </w:tc>
        <w:tc>
          <w:tcPr>
            <w:tcW w:w="3000" w:type="dxa"/>
          </w:tcPr>
          <w:p>
            <w:r>
              <w:t xml:space="preserve">Vollfile</w:t>
            </w:r>
          </w:p>
        </w:tc>
        <w:tc>
          <w:tcPr>
            <w:tcW w:w="3000" w:type="dxa"/>
          </w:tcPr>
          <w:p>
            <w:r>
              <w:t xml:space="preserve">Keine Delta-Dateien verwenden</w:t>
            </w:r>
          </w:p>
        </w:tc>
      </w:tr>
      <w:tr>
        <w:tc>
          <w:tcPr>
            <w:tcW w:w="3000" w:type="dxa"/>
          </w:tcPr>
          <w:p>
            <w:r>
              <w:t xml:space="preserve">Deutschland</w:t>
            </w:r>
          </w:p>
        </w:tc>
        <w:tc>
          <w:tcPr>
            <w:tcW w:w="3000" w:type="dxa"/>
          </w:tcPr>
          <w:p>
            <w:r>
              <w:t xml:space="preserve">Vollfile/Jahresfile</w:t>
            </w:r>
          </w:p>
        </w:tc>
        <w:tc>
          <w:tcPr>
            <w:tcW w:w="3000" w:type="dxa"/>
          </w:tcPr>
          <w:p>
            <w:r>
              <w:t xml:space="preserve">Keine Delta-Dateien verwenden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5. Export Dashboard richtig bedienen</w:t>
      </w:r>
    </w:p>
    <w:p>
      <w:r>
        <w:t xml:space="preserve">Das Export Dashboard zeigt aktive Standorte, Datenbasis, Status und Warnungen. Aktive manuelle Standorte ohne Datei werden markiert.</w:t>
      </w:r>
    </w:p>
    <w:p>
      <w:r>
        <w:t xml:space="preserve">Ein Einzelstandortexport aktualisiert nur diesen Standort in CentralSalesRecords. Die zentrale Excel muss danach separat neu erzeugt werden.</w:t>
      </w:r>
    </w:p>
    <w:p>
      <w:r>
        <w:t xml:space="preserve">Wenn seit der letzten zentralen Excel ein Standortexport gelaufen ist, zeigt das Dashboard einen Hinweis auf eine veraltete zentrale Datei.</w:t>
      </w:r>
    </w:p>
    <w:tbl>
      <w:tblPr>
        <w:tblStyle w:val="TableGrid"/>
        <w:tblW w:w="0" w:type="auto"/>
      </w:tblPr>
      <w:tr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Aktion</w:t>
            </w:r>
          </w:p>
        </w:tc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Wann verwenden</w:t>
            </w:r>
          </w:p>
        </w:tc>
      </w:tr>
      <w:tr>
        <w:tc>
          <w:tcPr>
            <w:tcW w:w="3000" w:type="dxa"/>
          </w:tcPr>
          <w:p>
            <w:r>
              <w:t xml:space="preserve">Standort exportieren</w:t>
            </w:r>
          </w:p>
        </w:tc>
        <w:tc>
          <w:tcPr>
            <w:tcW w:w="3000" w:type="dxa"/>
          </w:tcPr>
          <w:p>
            <w:r>
              <w:t xml:space="preserve">wenn Datei/Quelle eines Landes aktualisiert wurde</w:t>
            </w:r>
          </w:p>
        </w:tc>
      </w:tr>
      <w:tr>
        <w:tc>
          <w:tcPr>
            <w:tcW w:w="3000" w:type="dxa"/>
          </w:tcPr>
          <w:p>
            <w:r>
              <w:t xml:space="preserve">Alle exportieren</w:t>
            </w:r>
          </w:p>
        </w:tc>
        <w:tc>
          <w:tcPr>
            <w:tcW w:w="3000" w:type="dxa"/>
          </w:tcPr>
          <w:p>
            <w:r>
              <w:t xml:space="preserve">wenn alle aktiven Quellen frisch gelesen werden sollen</w:t>
            </w:r>
          </w:p>
        </w:tc>
      </w:tr>
      <w:tr>
        <w:tc>
          <w:tcPr>
            <w:tcW w:w="3000" w:type="dxa"/>
          </w:tcPr>
          <w:p>
            <w:r>
              <w:t xml:space="preserve">Zentrale Datei neu erzeugen</w:t>
            </w:r>
          </w:p>
        </w:tc>
        <w:tc>
          <w:tcPr>
            <w:tcW w:w="3000" w:type="dxa"/>
          </w:tcPr>
          <w:p>
            <w:r>
              <w:t xml:space="preserve">nach Standortexporten oder vor Finance-Freigabe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6. Zentrale Excel: Blätter und Bedeutung</w:t>
      </w:r>
    </w:p>
    <w:p>
      <w:r>
        <w:t xml:space="preserve">Die zentrale Excel enthält mehrere Blätter mit unterschiedlichem Zweck. Das wichtigste Blatt für Finance ist Finance Summary.</w:t>
      </w:r>
    </w:p>
    <w:p>
      <w:r>
        <w:t xml:space="preserve">Finance Details enthält die Zeilen, die zur Finance Summary führen. Dadurch muss Finance nicht im Sales-Blatt raten, welche Betragsspalte je Land gilt.</w:t>
      </w:r>
    </w:p>
    <w:p>
      <w:r>
        <w:t xml:space="preserve">Das Sales-Blatt bleibt vollständig und enthält Rohdaten plus Finance-Spaltenblock.</w:t>
      </w:r>
    </w:p>
    <w:tbl>
      <w:tblPr>
        <w:tblStyle w:val="TableGrid"/>
        <w:tblW w:w="0" w:type="auto"/>
      </w:tblPr>
      <w:tr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Blatt</w:t>
            </w:r>
          </w:p>
        </w:tc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Zweck</w:t>
            </w:r>
          </w:p>
        </w:tc>
      </w:tr>
      <w:tr>
        <w:tc>
          <w:tcPr>
            <w:tcW w:w="3000" w:type="dxa"/>
          </w:tcPr>
          <w:p>
            <w:r>
              <w:t xml:space="preserve">Finance Summary</w:t>
            </w:r>
          </w:p>
        </w:tc>
        <w:tc>
          <w:tcPr>
            <w:tcW w:w="3000" w:type="dxa"/>
          </w:tcPr>
          <w:p>
            <w:r>
              <w:t xml:space="preserve">Summen nach Jahr, Land und Wählrung</w:t>
            </w:r>
          </w:p>
        </w:tc>
      </w:tr>
      <w:tr>
        <w:tc>
          <w:tcPr>
            <w:tcW w:w="3000" w:type="dxa"/>
          </w:tcPr>
          <w:p>
            <w:r>
              <w:t xml:space="preserve">Finance Details</w:t>
            </w:r>
          </w:p>
        </w:tc>
        <w:tc>
          <w:tcPr>
            <w:tcW w:w="3000" w:type="dxa"/>
          </w:tcPr>
          <w:p>
            <w:r>
              <w:t xml:space="preserve">alle eingeschlossenen Detailzeilen zur Summe</w:t>
            </w:r>
          </w:p>
        </w:tc>
      </w:tr>
      <w:tr>
        <w:tc>
          <w:tcPr>
            <w:tcW w:w="3000" w:type="dxa"/>
          </w:tcPr>
          <w:p>
            <w:r>
              <w:t xml:space="preserve">Sales</w:t>
            </w:r>
          </w:p>
        </w:tc>
        <w:tc>
          <w:tcPr>
            <w:tcW w:w="3000" w:type="dxa"/>
          </w:tcPr>
          <w:p>
            <w:r>
              <w:t xml:space="preserve">vollständige Roh-/Exportdaten</w:t>
            </w:r>
          </w:p>
        </w:tc>
      </w:tr>
      <w:tr>
        <w:tc>
          <w:tcPr>
            <w:tcW w:w="3000" w:type="dxa"/>
          </w:tcPr>
          <w:p>
            <w:r>
              <w:t xml:space="preserve">Finance Filter Hilfe</w:t>
            </w:r>
          </w:p>
        </w:tc>
        <w:tc>
          <w:tcPr>
            <w:tcW w:w="3000" w:type="dxa"/>
          </w:tcPr>
          <w:p>
            <w:r>
              <w:t xml:space="preserve">Filteranleitung für Excel</w:t>
            </w:r>
          </w:p>
        </w:tc>
      </w:tr>
    </w:tbl>
    <w:p>
      <w:r>
        <w:drawing>
          <wp:inline distT="0" distB="0" distL="0" distR="0">
            <wp:extent cx="4762500" cy="2381250"/>
            <wp:docPr id="1" name="Cockpit preview"/>
            <a:graphic>
              <a:graphicData uri="http://schemas.openxmlformats.org/drawingml/2006/picture">
                <pic:pic>
                  <pic:nvPicPr>
                    <pic:cNvPr id="0" name="preview.png"/>
                    <pic:cNvPicPr/>
                  </pic:nvPicPr>
                  <pic:blipFill>
                    <a:blip r:embed="rIdPreview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Heading1"/>
      </w:pPr>
      <w:r>
        <w:t xml:space="preserve">7. Finance Summary interpretieren</w:t>
      </w:r>
    </w:p>
    <w:p>
      <w:r>
        <w:t xml:space="preserve">Finance Summary ist die kompakte, verbindliche Summensicht. Filter für Jahr, Land und Wählrung wirken auf das Finance-Endergebnis.</w:t>
      </w:r>
    </w:p>
    <w:p>
      <w:r>
        <w:t xml:space="preserve">Included Rows zeigt, wie viele Detailzeilen in die Summe laufen. Excluded Rows zeigt durch Finance-Regeln ausgeschlossene Zeilen.</w:t>
      </w:r>
    </w:p>
    <w:p>
      <w:r>
        <w:t xml:space="preserve">Bei Abweichungen zuerst Finance Details und danach die landesspezifische Regel prüfen.</w:t>
      </w:r>
    </w:p>
    <w:tbl>
      <w:tblPr>
        <w:tblStyle w:val="TableGrid"/>
        <w:tblW w:w="0" w:type="auto"/>
      </w:tblPr>
      <w:tr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Spalte/KPI</w:t>
            </w:r>
          </w:p>
        </w:tc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Interpretation</w:t>
            </w:r>
          </w:p>
        </w:tc>
      </w:tr>
      <w:tr>
        <w:tc>
          <w:tcPr>
            <w:tcW w:w="3000" w:type="dxa"/>
          </w:tcPr>
          <w:p>
            <w:r>
              <w:t xml:space="preserve">Year</w:t>
            </w:r>
          </w:p>
        </w:tc>
        <w:tc>
          <w:tcPr>
            <w:tcW w:w="3000" w:type="dxa"/>
          </w:tcPr>
          <w:p>
            <w:r>
              <w:t xml:space="preserve">Finance-Jahr</w:t>
            </w:r>
          </w:p>
        </w:tc>
      </w:tr>
      <w:tr>
        <w:tc>
          <w:tcPr>
            <w:tcW w:w="3000" w:type="dxa"/>
          </w:tcPr>
          <w:p>
            <w:r>
              <w:t xml:space="preserve">Country Key</w:t>
            </w:r>
          </w:p>
        </w:tc>
        <w:tc>
          <w:tcPr>
            <w:tcW w:w="3000" w:type="dxa"/>
          </w:tcPr>
          <w:p>
            <w:r>
              <w:t xml:space="preserve">Finance-Ländercode</w:t>
            </w:r>
          </w:p>
        </w:tc>
      </w:tr>
      <w:tr>
        <w:tc>
          <w:tcPr>
            <w:tcW w:w="3000" w:type="dxa"/>
          </w:tcPr>
          <w:p>
            <w:r>
              <w:t xml:space="preserve">Currency</w:t>
            </w:r>
          </w:p>
        </w:tc>
        <w:tc>
          <w:tcPr>
            <w:tcW w:w="3000" w:type="dxa"/>
          </w:tcPr>
          <w:p>
            <w:r>
              <w:t xml:space="preserve">führende Wählrung</w:t>
            </w:r>
          </w:p>
        </w:tc>
      </w:tr>
      <w:tr>
        <w:tc>
          <w:tcPr>
            <w:tcW w:w="3000" w:type="dxa"/>
          </w:tcPr>
          <w:p>
            <w:r>
              <w:t xml:space="preserve">Net Sales Actual</w:t>
            </w:r>
          </w:p>
        </w:tc>
        <w:tc>
          <w:tcPr>
            <w:tcW w:w="3000" w:type="dxa"/>
          </w:tcPr>
          <w:p>
            <w:r>
              <w:t xml:space="preserve">zu vergleichender Ist-Wert</w:t>
            </w:r>
          </w:p>
        </w:tc>
      </w:tr>
      <w:tr>
        <w:tc>
          <w:tcPr>
            <w:tcW w:w="3000" w:type="dxa"/>
          </w:tcPr>
          <w:p>
            <w:r>
              <w:t xml:space="preserve">Included Rows</w:t>
            </w:r>
          </w:p>
        </w:tc>
        <w:tc>
          <w:tcPr>
            <w:tcW w:w="3000" w:type="dxa"/>
          </w:tcPr>
          <w:p>
            <w:r>
              <w:t xml:space="preserve">eingeschlossene Detailzeilen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8. Finance Details: Nachvollziehbarkeit der Summe</w:t>
      </w:r>
    </w:p>
    <w:p>
      <w:r>
        <w:t xml:space="preserve">Finance Details ist das Kontrollblatt für Finance. Es enthält nur Zeilen mit Finance Include = TRUE.</w:t>
      </w:r>
    </w:p>
    <w:p>
      <w:r>
        <w:t xml:space="preserve">Die Summe über Net Sales Actual in Finance Details muss je Jahr/Land/Wählrung exakt mit Finance Summary übereinstimmen.</w:t>
      </w:r>
    </w:p>
    <w:p>
      <w:r>
        <w:t xml:space="preserve">Dieses Blatt ist für Rückfragen besonders wichtig, weil Belegnummern, Positionen, Kunde, Lieferant, Datum und Originalwerte sichtbar bleiben.</w:t>
      </w:r>
    </w:p>
    <w:tbl>
      <w:tblPr>
        <w:tblStyle w:val="TableGrid"/>
        <w:tblW w:w="0" w:type="auto"/>
      </w:tblPr>
      <w:tr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Prüfung</w:t>
            </w:r>
          </w:p>
        </w:tc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Vorgehen</w:t>
            </w:r>
          </w:p>
        </w:tc>
      </w:tr>
      <w:tr>
        <w:tc>
          <w:tcPr>
            <w:tcW w:w="3000" w:type="dxa"/>
          </w:tcPr>
          <w:p>
            <w:r>
              <w:t xml:space="preserve">Summe nach Land</w:t>
            </w:r>
          </w:p>
        </w:tc>
        <w:tc>
          <w:tcPr>
            <w:tcW w:w="3000" w:type="dxa"/>
          </w:tcPr>
          <w:p>
            <w:r>
              <w:t xml:space="preserve">Net Sales Actual aggregieren</w:t>
            </w:r>
          </w:p>
        </w:tc>
      </w:tr>
      <w:tr>
        <w:tc>
          <w:tcPr>
            <w:tcW w:w="3000" w:type="dxa"/>
          </w:tcPr>
          <w:p>
            <w:r>
              <w:t xml:space="preserve">Einzelbeleg prüfen</w:t>
            </w:r>
          </w:p>
        </w:tc>
        <w:tc>
          <w:tcPr>
            <w:tcW w:w="3000" w:type="dxa"/>
          </w:tcPr>
          <w:p>
            <w:r>
              <w:t xml:space="preserve">Invoice Number und Position verwenden</w:t>
            </w:r>
          </w:p>
        </w:tc>
      </w:tr>
      <w:tr>
        <w:tc>
          <w:tcPr>
            <w:tcW w:w="3000" w:type="dxa"/>
          </w:tcPr>
          <w:p>
            <w:r>
              <w:t xml:space="preserve">Ausschluss nachvollziehen</w:t>
            </w:r>
          </w:p>
        </w:tc>
        <w:tc>
          <w:tcPr>
            <w:tcW w:w="3000" w:type="dxa"/>
          </w:tcPr>
          <w:p>
            <w:r>
              <w:t xml:space="preserve">bei Bedarf Sales-Blatt mit Finance Include vergleichen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9. Soll/Ist Vergleich</w:t>
      </w:r>
    </w:p>
    <w:p>
      <w:r>
        <w:t xml:space="preserve">Der Soll/Ist Vergleich nutzt dieselbe Finance-Reconciliation-Logik wie die zentrale Finance-Sicht. Er ist die wichtigste Seite für den Vergleich gegen Referenzwerte.</w:t>
      </w:r>
    </w:p>
    <w:p>
      <w:r>
        <w:t xml:space="preserve">Leere Ist-Zeilen ohne belastbaren Wert werden ausgefiltert. Varianten zeigen alternative Berechnungskandidaten und helfen bei der Diagnose.</w:t>
      </w:r>
    </w:p>
    <w:p>
      <w:r>
        <w:t xml:space="preserve">Intercompany-Abzug ist Diagnose und verändert die Rohdaten nicht.</w:t>
      </w:r>
    </w:p>
    <w:tbl>
      <w:tblPr>
        <w:tblStyle w:val="TableGrid"/>
        <w:tblW w:w="0" w:type="auto"/>
      </w:tblPr>
      <w:tr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Feld</w:t>
            </w:r>
          </w:p>
        </w:tc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Bedeutung</w:t>
            </w:r>
          </w:p>
        </w:tc>
      </w:tr>
      <w:tr>
        <w:tc>
          <w:tcPr>
            <w:tcW w:w="3000" w:type="dxa"/>
          </w:tcPr>
          <w:p>
            <w:r>
              <w:t xml:space="preserve">Ist</w:t>
            </w:r>
          </w:p>
        </w:tc>
        <w:tc>
          <w:tcPr>
            <w:tcW w:w="3000" w:type="dxa"/>
          </w:tcPr>
          <w:p>
            <w:r>
              <w:t xml:space="preserve">aktueller Finance-Istwert</w:t>
            </w:r>
          </w:p>
        </w:tc>
      </w:tr>
      <w:tr>
        <w:tc>
          <w:tcPr>
            <w:tcW w:w="3000" w:type="dxa"/>
          </w:tcPr>
          <w:p>
            <w:r>
              <w:t xml:space="preserve">Referenz</w:t>
            </w:r>
          </w:p>
        </w:tc>
        <w:tc>
          <w:tcPr>
            <w:tcW w:w="3000" w:type="dxa"/>
          </w:tcPr>
          <w:p>
            <w:r>
              <w:t xml:space="preserve">Soll-/check.xlsx-Wert</w:t>
            </w:r>
          </w:p>
        </w:tc>
      </w:tr>
      <w:tr>
        <w:tc>
          <w:tcPr>
            <w:tcW w:w="3000" w:type="dxa"/>
          </w:tcPr>
          <w:p>
            <w:r>
              <w:t xml:space="preserve">Differenz</w:t>
            </w:r>
          </w:p>
        </w:tc>
        <w:tc>
          <w:tcPr>
            <w:tcW w:w="3000" w:type="dxa"/>
          </w:tcPr>
          <w:p>
            <w:r>
              <w:t xml:space="preserve">Ist minus Referenz</w:t>
            </w:r>
          </w:p>
        </w:tc>
      </w:tr>
      <w:tr>
        <w:tc>
          <w:tcPr>
            <w:tcW w:w="3000" w:type="dxa"/>
          </w:tcPr>
          <w:p>
            <w:r>
              <w:t xml:space="preserve">Varianten</w:t>
            </w:r>
          </w:p>
        </w:tc>
        <w:tc>
          <w:tcPr>
            <w:tcW w:w="3000" w:type="dxa"/>
          </w:tcPr>
          <w:p>
            <w:r>
              <w:t xml:space="preserve">alternative Berechnungen</w:t>
            </w:r>
          </w:p>
        </w:tc>
      </w:tr>
      <w:tr>
        <w:tc>
          <w:tcPr>
            <w:tcW w:w="3000" w:type="dxa"/>
          </w:tcPr>
          <w:p>
            <w:r>
              <w:t xml:space="preserve">IC</w:t>
            </w:r>
          </w:p>
        </w:tc>
        <w:tc>
          <w:tcPr>
            <w:tcW w:w="3000" w:type="dxa"/>
          </w:tcPr>
          <w:p>
            <w:r>
              <w:t xml:space="preserve">Intercompany-Diagnose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10. Landesspezifische Regeln</w:t>
      </w:r>
    </w:p>
    <w:p>
      <w:r>
        <w:t xml:space="preserve">Nicht jedes Land nutzt dieselbe Ursprungsspalte. Deshalb dürfen Summen nicht manuell aus beliebigen Spalten im Sales-Blatt erraten werden.</w:t>
      </w:r>
    </w:p>
    <w:p>
      <w:r>
        <w:t xml:space="preserve">Die Finance-Regeln normalisieren die Länderlogik für zentrale Excel, Finance Summary und Soll/Ist Vergleich.</w:t>
      </w:r>
    </w:p>
    <w:p>
      <w:r>
        <w:t xml:space="preserve">DE und IT enthalten besondere fachliche Regeln; UK und ES enthalten Sage-spezifische Credit-Logik.</w:t>
      </w:r>
    </w:p>
    <w:tbl>
      <w:tblPr>
        <w:tblStyle w:val="TableGrid"/>
        <w:tblW w:w="0" w:type="auto"/>
      </w:tblPr>
      <w:tr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Land</w:t>
            </w:r>
          </w:p>
        </w:tc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Regel</w:t>
            </w:r>
          </w:p>
        </w:tc>
      </w:tr>
      <w:tr>
        <w:tc>
          <w:tcPr>
            <w:tcW w:w="3000" w:type="dxa"/>
          </w:tcPr>
          <w:p>
            <w:r>
              <w:t xml:space="preserve">DE</w:t>
            </w:r>
          </w:p>
        </w:tc>
        <w:tc>
          <w:tcPr>
            <w:tcW w:w="3000" w:type="dxa"/>
          </w:tcPr>
          <w:p>
            <w:r>
              <w:t xml:space="preserve">Alphaplan, 2025-Zwang, Weiterberechnungen ausgeschlossen, GS negativ</w:t>
            </w:r>
          </w:p>
        </w:tc>
      </w:tr>
      <w:tr>
        <w:tc>
          <w:tcPr>
            <w:tcW w:w="3000" w:type="dxa"/>
          </w:tcPr>
          <w:p>
            <w:r>
              <w:t xml:space="preserve">IT</w:t>
            </w:r>
          </w:p>
        </w:tc>
        <w:tc>
          <w:tcPr>
            <w:tcW w:w="3000" w:type="dxa"/>
          </w:tcPr>
          <w:p>
            <w:r>
              <w:t xml:space="preserve">Trafag Italia ausgeschlossen, Blank-Supplier-Dubletten</w:t>
            </w:r>
          </w:p>
        </w:tc>
      </w:tr>
      <w:tr>
        <w:tc>
          <w:tcPr>
            <w:tcW w:w="3000" w:type="dxa"/>
          </w:tcPr>
          <w:p>
            <w:r>
              <w:t xml:space="preserve">UK</w:t>
            </w:r>
          </w:p>
        </w:tc>
        <w:tc>
          <w:tcPr>
            <w:tcW w:w="3000" w:type="dxa"/>
          </w:tcPr>
          <w:p>
            <w:r>
              <w:t xml:space="preserve">SageNetSales, Quantity-Multiplikation, Credit Notes negativ</w:t>
            </w:r>
          </w:p>
        </w:tc>
      </w:tr>
      <w:tr>
        <w:tc>
          <w:tcPr>
            <w:tcW w:w="3000" w:type="dxa"/>
          </w:tcPr>
          <w:p>
            <w:r>
              <w:t xml:space="preserve">ES</w:t>
            </w:r>
          </w:p>
        </w:tc>
        <w:tc>
          <w:tcPr>
            <w:tcW w:w="3000" w:type="dxa"/>
          </w:tcPr>
          <w:p>
            <w:r>
              <w:t xml:space="preserve">Sage ImporteNeto, REC/Abono negativ</w:t>
            </w:r>
          </w:p>
        </w:tc>
      </w:tr>
      <w:tr>
        <w:tc>
          <w:tcPr>
            <w:tcW w:w="3000" w:type="dxa"/>
          </w:tcPr>
          <w:p>
            <w:r>
              <w:t xml:space="preserve">CH/AT</w:t>
            </w:r>
          </w:p>
        </w:tc>
        <w:tc>
          <w:tcPr>
            <w:tcW w:w="3000" w:type="dxa"/>
          </w:tcPr>
          <w:p>
            <w:r>
              <w:t xml:space="preserve">ZSCHWEIZ NetwrHc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11. SharePoint, Locks und typische Fehler</w:t>
      </w:r>
    </w:p>
    <w:p>
      <w:r>
        <w:t xml:space="preserve">Die zentrale Datei wird lokal erzeugt und danach nach SharePoint hochgeladen. Wenn SharePoint die Zieldatei sperrt, kann der Upload blockieren.</w:t>
      </w:r>
    </w:p>
    <w:p>
      <w:r>
        <w:t xml:space="preserve">Die App versucht bei SharePoint-Locks mehrfach erneut. Wenn die zentrale Datei weiterhin gesperrt ist, wird eine Zeitstempel-Kopie hochgeladen.</w:t>
      </w:r>
    </w:p>
    <w:p>
      <w:r>
        <w:t xml:space="preserve">Bei Uploadfehlern zuerst prüfen, ob die Datei im Browser oder in Excel Desktop geöffnet ist.</w:t>
      </w:r>
    </w:p>
    <w:tbl>
      <w:tblPr>
        <w:tblStyle w:val="TableGrid"/>
        <w:tblW w:w="0" w:type="auto"/>
      </w:tblPr>
      <w:tr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Fehler</w:t>
            </w:r>
          </w:p>
        </w:tc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Ursache</w:t>
            </w:r>
          </w:p>
        </w:tc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Massnahme</w:t>
            </w:r>
          </w:p>
        </w:tc>
      </w:tr>
      <w:tr>
        <w:tc>
          <w:tcPr>
            <w:tcW w:w="3000" w:type="dxa"/>
          </w:tcPr>
          <w:p>
            <w:r>
              <w:t xml:space="preserve">resource locked</w:t>
            </w:r>
          </w:p>
        </w:tc>
        <w:tc>
          <w:tcPr>
            <w:tcW w:w="3000" w:type="dxa"/>
          </w:tcPr>
          <w:p>
            <w:r>
              <w:t xml:space="preserve">Datei in SharePoint/Excel gesperrt</w:t>
            </w:r>
          </w:p>
        </w:tc>
        <w:tc>
          <w:tcPr>
            <w:tcW w:w="3000" w:type="dxa"/>
          </w:tcPr>
          <w:p>
            <w:r>
              <w:t xml:space="preserve">Datei schliessen oder Zeitstempeldatei verwenden</w:t>
            </w:r>
          </w:p>
        </w:tc>
      </w:tr>
      <w:tr>
        <w:tc>
          <w:tcPr>
            <w:tcW w:w="3000" w:type="dxa"/>
          </w:tcPr>
          <w:p>
            <w:r>
              <w:t xml:space="preserve">authentication failed</w:t>
            </w:r>
          </w:p>
        </w:tc>
        <w:tc>
          <w:tcPr>
            <w:tcW w:w="3000" w:type="dxa"/>
          </w:tcPr>
          <w:p>
            <w:r>
              <w:t xml:space="preserve">Credentials/Netzwerk</w:t>
            </w:r>
          </w:p>
        </w:tc>
        <w:tc>
          <w:tcPr>
            <w:tcW w:w="3000" w:type="dxa"/>
          </w:tcPr>
          <w:p>
            <w:r>
              <w:t xml:space="preserve">Settings und Zugriff prüfen</w:t>
            </w:r>
          </w:p>
        </w:tc>
      </w:tr>
      <w:tr>
        <w:tc>
          <w:tcPr>
            <w:tcW w:w="3000" w:type="dxa"/>
          </w:tcPr>
          <w:p>
            <w:r>
              <w:t xml:space="preserve">keine Datei</w:t>
            </w:r>
          </w:p>
        </w:tc>
        <w:tc>
          <w:tcPr>
            <w:tcW w:w="3000" w:type="dxa"/>
          </w:tcPr>
          <w:p>
            <w:r>
              <w:t xml:space="preserve">Manual-Pfad fehlt</w:t>
            </w:r>
          </w:p>
        </w:tc>
        <w:tc>
          <w:tcPr>
            <w:tcW w:w="3000" w:type="dxa"/>
          </w:tcPr>
          <w:p>
            <w:r>
              <w:t xml:space="preserve">Manuelle Importe pflegen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12. Freigabe-Checkliste</w:t>
      </w:r>
    </w:p>
    <w:p>
      <w:r>
        <w:t xml:space="preserve">Vor der Finance-Freigabe sollten immer dieselben Prüfpunkte abgearbeitet werden. So bleiben Abweichungen nachvollziehbar.</w:t>
      </w:r>
    </w:p>
    <w:p>
      <w:r>
        <w:t xml:space="preserve">Die zentrale Excel darf erst als aktuell gelten, wenn nach allen relevanten Standortexporten die zentrale Datei neu erzeugt wurde.</w:t>
      </w:r>
    </w:p>
    <w:tbl>
      <w:tblPr>
        <w:tblStyle w:val="TableGrid"/>
        <w:tblW w:w="0" w:type="auto"/>
      </w:tblPr>
      <w:tr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Nr.</w:t>
            </w:r>
          </w:p>
        </w:tc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Checkpunkt</w:t>
            </w:r>
          </w:p>
        </w:tc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OK?</w:t>
            </w:r>
          </w:p>
        </w:tc>
      </w:tr>
      <w:tr>
        <w:tc>
          <w:tcPr>
            <w:tcW w:w="3000" w:type="dxa"/>
          </w:tcPr>
          <w:p>
            <w:r>
              <w:t xml:space="preserve">1</w:t>
            </w:r>
          </w:p>
        </w:tc>
        <w:tc>
          <w:tcPr>
            <w:tcW w:w="3000" w:type="dxa"/>
          </w:tcPr>
          <w:p>
            <w:r>
              <w:t xml:space="preserve">Alle relevanten Standorte exportiert</w:t>
            </w:r>
          </w:p>
        </w:tc>
        <w:tc>
          <w:tcPr>
            <w:tcW w:w="3000" w:type="dxa"/>
          </w:tcPr>
          <w:p>
            <w:r>
              <w:t xml:space="preserve"/>
            </w:r>
          </w:p>
        </w:tc>
      </w:tr>
      <w:tr>
        <w:tc>
          <w:tcPr>
            <w:tcW w:w="3000" w:type="dxa"/>
          </w:tcPr>
          <w:p>
            <w:r>
              <w:t xml:space="preserve">2</w:t>
            </w:r>
          </w:p>
        </w:tc>
        <w:tc>
          <w:tcPr>
            <w:tcW w:w="3000" w:type="dxa"/>
          </w:tcPr>
          <w:p>
            <w:r>
              <w:t xml:space="preserve">Zentrale Excel nach Exporten neu erzeugt</w:t>
            </w:r>
          </w:p>
        </w:tc>
        <w:tc>
          <w:tcPr>
            <w:tcW w:w="3000" w:type="dxa"/>
          </w:tcPr>
          <w:p>
            <w:r>
              <w:t xml:space="preserve"/>
            </w:r>
          </w:p>
        </w:tc>
      </w:tr>
      <w:tr>
        <w:tc>
          <w:tcPr>
            <w:tcW w:w="3000" w:type="dxa"/>
          </w:tcPr>
          <w:p>
            <w:r>
              <w:t xml:space="preserve">3</w:t>
            </w:r>
          </w:p>
        </w:tc>
        <w:tc>
          <w:tcPr>
            <w:tcW w:w="3000" w:type="dxa"/>
          </w:tcPr>
          <w:p>
            <w:r>
              <w:t xml:space="preserve">Finance Summary gegen Finance Details konsistent</w:t>
            </w:r>
          </w:p>
        </w:tc>
        <w:tc>
          <w:tcPr>
            <w:tcW w:w="3000" w:type="dxa"/>
          </w:tcPr>
          <w:p>
            <w:r>
              <w:t xml:space="preserve"/>
            </w:r>
          </w:p>
        </w:tc>
      </w:tr>
      <w:tr>
        <w:tc>
          <w:tcPr>
            <w:tcW w:w="3000" w:type="dxa"/>
          </w:tcPr>
          <w:p>
            <w:r>
              <w:t xml:space="preserve">4</w:t>
            </w:r>
          </w:p>
        </w:tc>
        <w:tc>
          <w:tcPr>
            <w:tcW w:w="3000" w:type="dxa"/>
          </w:tcPr>
          <w:p>
            <w:r>
              <w:t xml:space="preserve">Soll/Ist Vergleich ohne unerwartete Abweichungen</w:t>
            </w:r>
          </w:p>
        </w:tc>
        <w:tc>
          <w:tcPr>
            <w:tcW w:w="3000" w:type="dxa"/>
          </w:tcPr>
          <w:p>
            <w:r>
              <w:t xml:space="preserve"/>
            </w:r>
          </w:p>
        </w:tc>
      </w:tr>
      <w:tr>
        <w:tc>
          <w:tcPr>
            <w:tcW w:w="3000" w:type="dxa"/>
          </w:tcPr>
          <w:p>
            <w:r>
              <w:t xml:space="preserve">5</w:t>
            </w:r>
          </w:p>
        </w:tc>
        <w:tc>
          <w:tcPr>
            <w:tcW w:w="3000" w:type="dxa"/>
          </w:tcPr>
          <w:p>
            <w:r>
              <w:t xml:space="preserve">ES/DE als Vollfile geliefert</w:t>
            </w:r>
          </w:p>
        </w:tc>
        <w:tc>
          <w:tcPr>
            <w:tcW w:w="3000" w:type="dxa"/>
          </w:tcPr>
          <w:p>
            <w:r>
              <w:t xml:space="preserve"/>
            </w:r>
          </w:p>
        </w:tc>
      </w:tr>
      <w:tr>
        <w:tc>
          <w:tcPr>
            <w:tcW w:w="3000" w:type="dxa"/>
          </w:tcPr>
          <w:p>
            <w:r>
              <w:t xml:space="preserve">6</w:t>
            </w:r>
          </w:p>
        </w:tc>
        <w:tc>
          <w:tcPr>
            <w:tcW w:w="3000" w:type="dxa"/>
          </w:tcPr>
          <w:p>
            <w:r>
              <w:t xml:space="preserve">offene Länder fachlich dokumentiert</w:t>
            </w:r>
          </w:p>
        </w:tc>
        <w:tc>
          <w:tcPr>
            <w:tcW w:w="3000" w:type="dxa"/>
          </w:tcPr>
          <w:p>
            <w:r>
              <w:t xml:space="preserve"/>
            </w:r>
          </w:p>
        </w:tc>
      </w:tr>
    </w:tbl>
    <w:sectPr>
      <w:pgSz w:w="11906" w:h="16838"/>
      <w:pgMar w:top="1134" w:right="850" w:bottom="1134" w:left="850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sz w:val="22"/>
    </w:rPr>
    <w:pPr>
      <w:spacing w:after="160"/>
    </w:pPr>
  </w:style>
  <w:style w:type="paragraph" w:styleId="Title">
    <w:name w:val="Title"/>
    <w:rPr>
      <w:b/>
      <w:sz w:val="36"/>
      <w:color w:val="B71C1C"/>
    </w:rPr>
    <w:pPr>
      <w:spacing w:after="260"/>
    </w:pPr>
  </w:style>
  <w:style w:type="paragraph" w:styleId="Subtitle">
    <w:name w:val="Subtitle"/>
    <w:rPr>
      <w:sz w:val="26"/>
      <w:color w:val="666666"/>
    </w:rPr>
    <w:pPr>
      <w:spacing w:after="240"/>
    </w:pPr>
  </w:style>
  <w:style w:type="paragraph" w:styleId="Heading1">
    <w:name w:val="heading 1"/>
    <w:rPr>
      <w:b/>
      <w:sz w:val="30"/>
      <w:color w:val="B71C1C"/>
    </w:rPr>
    <w:pPr>
      <w:spacing w:before="120" w:after="180"/>
    </w:pPr>
  </w:style>
  <w:style w:type="table" w:styleId="TableGrid">
    <w:name w:val="Table Grid"/>
    <w:tblPr>
      <w:tblBorders>
        <w:top w:val="single" w:sz="4" w:color="A6A6A6"/>
        <w:left w:val="single" w:sz="4" w:color="A6A6A6"/>
        <w:bottom w:val="single" w:sz="4" w:color="A6A6A6"/>
        <w:right w:val="single" w:sz="4" w:color="A6A6A6"/>
        <w:insideH w:val="single" w:sz="4" w:color="A6A6A6"/>
        <w:insideV w:val="single" w:sz="4" w:color="A6A6A6"/>
      </w:tblBorders>
    </w:tblPr>
  </w:style>
</w:styles>
</file>

<file path=word/_rels/document.xml.rels><?xml version="1.0" encoding="UTF-8" standalone="yes"?><Relationships xmlns="http://schemas.openxmlformats.org/package/2006/relationships"><Relationship Id="rIdStyles" Type="http://schemas.openxmlformats.org/officeDocument/2006/relationships/styles" Target="styles.xml"/><Relationship Id="rIdPreview" Type="http://schemas.openxmlformats.org/officeDocument/2006/relationships/image" Target="media/preview.png"/></Relationships>
</file>